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CD623" w14:textId="77777777" w:rsidR="00907115" w:rsidRPr="0050005A" w:rsidRDefault="00907115" w:rsidP="002F09BD">
      <w:pPr>
        <w:rPr>
          <w:lang w:val="sq-AL"/>
        </w:rPr>
      </w:pPr>
    </w:p>
    <w:p w14:paraId="55AFD8B7" w14:textId="77777777" w:rsidR="00907115" w:rsidRPr="0050005A" w:rsidRDefault="00907115" w:rsidP="002F09BD">
      <w:pPr>
        <w:rPr>
          <w:lang w:val="sq-AL"/>
        </w:rPr>
      </w:pPr>
    </w:p>
    <w:p w14:paraId="5619D77F" w14:textId="77777777" w:rsidR="002F09BD" w:rsidRPr="0050005A" w:rsidRDefault="002F09BD" w:rsidP="002F09BD">
      <w:pPr>
        <w:rPr>
          <w:lang w:val="sq-AL"/>
        </w:rPr>
      </w:pPr>
    </w:p>
    <w:p w14:paraId="386CF602" w14:textId="77777777" w:rsidR="00907115" w:rsidRPr="0050005A" w:rsidRDefault="00907115" w:rsidP="00907115">
      <w:pPr>
        <w:pStyle w:val="Title"/>
        <w:shd w:val="clear" w:color="auto" w:fill="005D97"/>
        <w:spacing w:before="0" w:after="0"/>
        <w:jc w:val="center"/>
        <w:rPr>
          <w:color w:val="DF8D1D"/>
          <w:sz w:val="48"/>
          <w:szCs w:val="40"/>
        </w:rPr>
      </w:pPr>
    </w:p>
    <w:p w14:paraId="47268085" w14:textId="6A8AA682" w:rsidR="00417A40" w:rsidRPr="0050005A" w:rsidRDefault="00417A40" w:rsidP="00417A40">
      <w:pPr>
        <w:pStyle w:val="ReportTitle"/>
        <w:rPr>
          <w:color w:val="F79646"/>
          <w:lang w:val="sq-AL"/>
        </w:rPr>
      </w:pPr>
      <w:r w:rsidRPr="0050005A">
        <w:rPr>
          <w:color w:val="F79646"/>
          <w:lang w:val="sq-AL"/>
        </w:rPr>
        <w:t>Konsultativ</w:t>
      </w:r>
      <w:r w:rsidR="00B50938">
        <w:rPr>
          <w:color w:val="F79646"/>
          <w:lang w:val="sq-AL"/>
        </w:rPr>
        <w:t>ni Izve</w:t>
      </w:r>
      <w:r w:rsidR="00B50938">
        <w:rPr>
          <w:rFonts w:cs="Calibri"/>
          <w:color w:val="F79646"/>
          <w:lang w:val="sq-AL"/>
        </w:rPr>
        <w:t>š</w:t>
      </w:r>
      <w:r w:rsidR="00B50938">
        <w:rPr>
          <w:color w:val="F79646"/>
          <w:lang w:val="sq-AL"/>
        </w:rPr>
        <w:t>taj</w:t>
      </w:r>
      <w:r w:rsidRPr="0050005A">
        <w:rPr>
          <w:color w:val="F79646"/>
          <w:lang w:val="sq-AL"/>
        </w:rPr>
        <w:t xml:space="preserve"> </w:t>
      </w:r>
    </w:p>
    <w:p w14:paraId="2B1D4755" w14:textId="77777777" w:rsidR="00417A40" w:rsidRPr="0050005A" w:rsidRDefault="00417A40" w:rsidP="00417A40">
      <w:pPr>
        <w:pStyle w:val="Title"/>
        <w:shd w:val="clear" w:color="auto" w:fill="005D97"/>
        <w:spacing w:before="0" w:after="0"/>
        <w:jc w:val="center"/>
        <w:rPr>
          <w:color w:val="F79646"/>
        </w:rPr>
      </w:pPr>
    </w:p>
    <w:p w14:paraId="1D4659A1" w14:textId="051B5F44" w:rsidR="00417A40" w:rsidRPr="0050005A" w:rsidRDefault="00B50938" w:rsidP="00417A40">
      <w:pPr>
        <w:pStyle w:val="Title"/>
        <w:shd w:val="clear" w:color="auto" w:fill="005D97"/>
        <w:spacing w:before="0" w:after="0"/>
        <w:jc w:val="center"/>
        <w:rPr>
          <w:color w:val="F79646"/>
          <w:sz w:val="28"/>
        </w:rPr>
      </w:pPr>
      <w:r>
        <w:rPr>
          <w:color w:val="F79646"/>
          <w:sz w:val="28"/>
        </w:rPr>
        <w:t>Godi</w:t>
      </w:r>
      <w:r>
        <w:rPr>
          <w:rFonts w:cs="Calibri"/>
          <w:color w:val="F79646"/>
          <w:sz w:val="28"/>
        </w:rPr>
        <w:t>š</w:t>
      </w:r>
      <w:r>
        <w:rPr>
          <w:color w:val="F79646"/>
          <w:sz w:val="28"/>
        </w:rPr>
        <w:t>nja prilago</w:t>
      </w:r>
      <w:r>
        <w:rPr>
          <w:rFonts w:cs="Calibri"/>
          <w:color w:val="F79646"/>
          <w:sz w:val="28"/>
        </w:rPr>
        <w:t>đ</w:t>
      </w:r>
      <w:r>
        <w:rPr>
          <w:color w:val="F79646"/>
          <w:sz w:val="28"/>
        </w:rPr>
        <w:t xml:space="preserve">avanja maksimano dozvoljenih prihoda za </w:t>
      </w:r>
      <w:r w:rsidR="00AC7EB7">
        <w:rPr>
          <w:color w:val="F79646"/>
          <w:sz w:val="28"/>
        </w:rPr>
        <w:t>KEDS</w:t>
      </w:r>
      <w:r w:rsidR="00417A40" w:rsidRPr="0050005A">
        <w:rPr>
          <w:color w:val="F79646"/>
          <w:sz w:val="28"/>
        </w:rPr>
        <w:t xml:space="preserve"> </w:t>
      </w:r>
    </w:p>
    <w:p w14:paraId="2EE92F7C" w14:textId="77777777" w:rsidR="00417A40" w:rsidRPr="0050005A" w:rsidRDefault="00417A40" w:rsidP="00417A40">
      <w:pPr>
        <w:pStyle w:val="Title"/>
        <w:shd w:val="clear" w:color="auto" w:fill="005D97"/>
        <w:spacing w:before="0" w:after="0"/>
        <w:jc w:val="center"/>
        <w:rPr>
          <w:color w:val="F79646"/>
          <w:sz w:val="28"/>
        </w:rPr>
      </w:pPr>
    </w:p>
    <w:p w14:paraId="42CF7227" w14:textId="3949707C" w:rsidR="00417A40" w:rsidRPr="0050005A" w:rsidRDefault="00C85E1B" w:rsidP="00417A40">
      <w:pPr>
        <w:pStyle w:val="Title"/>
        <w:shd w:val="clear" w:color="auto" w:fill="005D97"/>
        <w:spacing w:before="0" w:after="0"/>
        <w:jc w:val="center"/>
        <w:rPr>
          <w:color w:val="F79646"/>
          <w:sz w:val="28"/>
        </w:rPr>
      </w:pPr>
      <w:r>
        <w:rPr>
          <w:color w:val="F79646"/>
          <w:sz w:val="28"/>
        </w:rPr>
        <w:t>(</w:t>
      </w:r>
      <w:r w:rsidR="0047177D">
        <w:rPr>
          <w:color w:val="F79646"/>
          <w:sz w:val="28"/>
        </w:rPr>
        <w:t xml:space="preserve">Relevantna tarifna godina </w:t>
      </w:r>
      <w:r w:rsidR="00841886">
        <w:rPr>
          <w:color w:val="F79646"/>
          <w:sz w:val="28"/>
        </w:rPr>
        <w:t>2021</w:t>
      </w:r>
      <w:r w:rsidR="00883824" w:rsidRPr="0050005A">
        <w:rPr>
          <w:color w:val="F79646"/>
          <w:sz w:val="28"/>
        </w:rPr>
        <w:t>)</w:t>
      </w:r>
    </w:p>
    <w:p w14:paraId="2B5B0E4C" w14:textId="77777777" w:rsidR="00417A40" w:rsidRPr="0050005A" w:rsidRDefault="00417A40" w:rsidP="00417A40">
      <w:pPr>
        <w:pStyle w:val="Title"/>
        <w:shd w:val="clear" w:color="auto" w:fill="005D97"/>
        <w:spacing w:before="0" w:after="0"/>
        <w:jc w:val="center"/>
        <w:rPr>
          <w:color w:val="F79646"/>
          <w:sz w:val="28"/>
        </w:rPr>
      </w:pPr>
    </w:p>
    <w:p w14:paraId="5F404210" w14:textId="77777777" w:rsidR="00907115" w:rsidRPr="0050005A" w:rsidRDefault="00907115" w:rsidP="00907115">
      <w:pPr>
        <w:pStyle w:val="Title"/>
        <w:shd w:val="clear" w:color="auto" w:fill="005D97"/>
        <w:spacing w:before="0" w:after="0"/>
        <w:jc w:val="center"/>
        <w:rPr>
          <w:color w:val="F79646"/>
          <w:sz w:val="28"/>
        </w:rPr>
      </w:pPr>
    </w:p>
    <w:p w14:paraId="3F335274" w14:textId="77777777" w:rsidR="00907115" w:rsidRPr="0050005A" w:rsidRDefault="00907115" w:rsidP="002F09BD">
      <w:pPr>
        <w:rPr>
          <w:lang w:val="sq-AL"/>
        </w:rPr>
      </w:pPr>
    </w:p>
    <w:p w14:paraId="2EEF0289" w14:textId="77777777" w:rsidR="00907115" w:rsidRPr="0050005A" w:rsidRDefault="00907115" w:rsidP="002F09BD">
      <w:pPr>
        <w:rPr>
          <w:lang w:val="sq-AL"/>
        </w:rPr>
      </w:pPr>
    </w:p>
    <w:p w14:paraId="224105CE" w14:textId="77777777" w:rsidR="00907115" w:rsidRPr="0050005A" w:rsidRDefault="00907115" w:rsidP="002F09BD">
      <w:pPr>
        <w:rPr>
          <w:lang w:val="sq-AL"/>
        </w:rPr>
      </w:pPr>
    </w:p>
    <w:p w14:paraId="338886FB" w14:textId="77777777" w:rsidR="00907115" w:rsidRPr="0050005A" w:rsidRDefault="00907115" w:rsidP="002F09BD">
      <w:pPr>
        <w:rPr>
          <w:lang w:val="sq-AL"/>
        </w:rPr>
      </w:pPr>
    </w:p>
    <w:p w14:paraId="17AF082E" w14:textId="77777777" w:rsidR="00907115" w:rsidRPr="0050005A" w:rsidRDefault="00907115" w:rsidP="002F09BD">
      <w:pPr>
        <w:rPr>
          <w:lang w:val="sq-AL"/>
        </w:rPr>
      </w:pPr>
    </w:p>
    <w:p w14:paraId="30D97AA5" w14:textId="77777777" w:rsidR="00907115" w:rsidRPr="0050005A" w:rsidRDefault="00907115" w:rsidP="002F09BD">
      <w:pPr>
        <w:rPr>
          <w:lang w:val="sq-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99"/>
      </w:tblGrid>
      <w:tr w:rsidR="002F09BD" w:rsidRPr="0050005A" w14:paraId="2A130D89" w14:textId="77777777" w:rsidTr="002F09BD">
        <w:tc>
          <w:tcPr>
            <w:tcW w:w="9198" w:type="dxa"/>
            <w:shd w:val="clear" w:color="auto" w:fill="E0E0E0"/>
          </w:tcPr>
          <w:p w14:paraId="2242CCAE" w14:textId="6E8C817E" w:rsidR="00925225" w:rsidRPr="0050005A" w:rsidRDefault="006C0D89" w:rsidP="00925225">
            <w:pPr>
              <w:spacing w:before="120"/>
              <w:jc w:val="center"/>
              <w:rPr>
                <w:b/>
                <w:color w:val="005D97"/>
                <w:lang w:val="sq-AL"/>
              </w:rPr>
            </w:pPr>
            <w:r>
              <w:rPr>
                <w:b/>
                <w:color w:val="005D97"/>
                <w:lang w:val="sq-AL"/>
              </w:rPr>
              <w:t>IZJAVA</w:t>
            </w:r>
          </w:p>
          <w:p w14:paraId="77B306A6" w14:textId="558C23B8" w:rsidR="002F09BD" w:rsidRPr="0050005A" w:rsidRDefault="006C0D89" w:rsidP="006C0D89">
            <w:pPr>
              <w:keepNext/>
              <w:rPr>
                <w:b/>
                <w:bCs/>
                <w:lang w:val="sq-AL"/>
              </w:rPr>
            </w:pPr>
            <w:r>
              <w:rPr>
                <w:b/>
                <w:color w:val="005D97"/>
                <w:lang w:val="sq-AL"/>
              </w:rPr>
              <w:t>Ovaj Konsultativni Izve</w:t>
            </w:r>
            <w:r>
              <w:rPr>
                <w:rFonts w:cs="Calibri"/>
                <w:b/>
                <w:color w:val="005D97"/>
                <w:lang w:val="sq-AL"/>
              </w:rPr>
              <w:t>š</w:t>
            </w:r>
            <w:r>
              <w:rPr>
                <w:b/>
                <w:color w:val="005D97"/>
                <w:lang w:val="sq-AL"/>
              </w:rPr>
              <w:t>taj je pripremljen od RUE sa ciljem za informisanje od strane interesa.</w:t>
            </w:r>
            <w:r w:rsidR="00925225" w:rsidRPr="0050005A">
              <w:rPr>
                <w:b/>
                <w:color w:val="005D97"/>
                <w:lang w:val="sq-AL"/>
              </w:rPr>
              <w:t xml:space="preserve"> </w:t>
            </w:r>
            <w:r w:rsidRPr="006C0D89">
              <w:rPr>
                <w:b/>
                <w:color w:val="005D97"/>
                <w:u w:val="single"/>
                <w:lang w:val="sq-AL"/>
              </w:rPr>
              <w:t>Izve</w:t>
            </w:r>
            <w:r w:rsidRPr="006C0D89">
              <w:rPr>
                <w:rFonts w:cs="Calibri"/>
                <w:b/>
                <w:color w:val="005D97"/>
                <w:u w:val="single"/>
                <w:lang w:val="sq-AL"/>
              </w:rPr>
              <w:t>š</w:t>
            </w:r>
            <w:r w:rsidRPr="006C0D89">
              <w:rPr>
                <w:b/>
                <w:color w:val="005D97"/>
                <w:u w:val="single"/>
                <w:lang w:val="sq-AL"/>
              </w:rPr>
              <w:t xml:space="preserve">taj ne prikazuje odluku RUE-a i ne treba se razmatrati kao </w:t>
            </w:r>
            <w:r w:rsidRPr="001871E7">
              <w:rPr>
                <w:b/>
                <w:color w:val="005D97"/>
                <w:u w:val="single"/>
                <w:lang w:val="sq-AL"/>
              </w:rPr>
              <w:t>takav.</w:t>
            </w:r>
          </w:p>
        </w:tc>
      </w:tr>
    </w:tbl>
    <w:p w14:paraId="37FB04BB" w14:textId="77777777" w:rsidR="002F09BD" w:rsidRPr="0050005A" w:rsidRDefault="002F09BD" w:rsidP="002F09BD">
      <w:pPr>
        <w:rPr>
          <w:lang w:val="sq-AL"/>
        </w:rPr>
      </w:pPr>
    </w:p>
    <w:p w14:paraId="33F14A1C" w14:textId="77777777" w:rsidR="00907115" w:rsidRPr="0050005A" w:rsidRDefault="00907115" w:rsidP="002F09BD">
      <w:pPr>
        <w:rPr>
          <w:lang w:val="sq-AL"/>
        </w:rPr>
      </w:pPr>
    </w:p>
    <w:p w14:paraId="4AB4D549" w14:textId="77777777" w:rsidR="00417A40" w:rsidRPr="0050005A" w:rsidRDefault="00417A40" w:rsidP="002F09BD">
      <w:pPr>
        <w:rPr>
          <w:lang w:val="sq-AL"/>
        </w:rPr>
      </w:pPr>
    </w:p>
    <w:p w14:paraId="16672571" w14:textId="77777777" w:rsidR="00883824" w:rsidRPr="0050005A" w:rsidRDefault="00883824" w:rsidP="00417A40">
      <w:pPr>
        <w:tabs>
          <w:tab w:val="left" w:pos="2175"/>
        </w:tabs>
        <w:jc w:val="center"/>
        <w:rPr>
          <w:b/>
          <w:bCs/>
          <w:color w:val="005D97"/>
          <w:sz w:val="24"/>
          <w:szCs w:val="24"/>
          <w:lang w:val="sq-AL"/>
        </w:rPr>
      </w:pPr>
    </w:p>
    <w:p w14:paraId="0E142450" w14:textId="401799B5" w:rsidR="002F09BD" w:rsidRPr="0050005A" w:rsidRDefault="001871E7" w:rsidP="00417A40">
      <w:pPr>
        <w:tabs>
          <w:tab w:val="left" w:pos="2175"/>
        </w:tabs>
        <w:jc w:val="center"/>
        <w:rPr>
          <w:sz w:val="24"/>
          <w:szCs w:val="24"/>
          <w:lang w:val="sq-AL"/>
        </w:rPr>
        <w:sectPr w:rsidR="002F09BD" w:rsidRPr="0050005A" w:rsidSect="00907115">
          <w:headerReference w:type="default" r:id="rId8"/>
          <w:footerReference w:type="default" r:id="rId9"/>
          <w:headerReference w:type="first" r:id="rId10"/>
          <w:footerReference w:type="first" r:id="rId11"/>
          <w:pgSz w:w="11909" w:h="16834" w:code="9"/>
          <w:pgMar w:top="1440" w:right="1440" w:bottom="1440" w:left="1440" w:header="720" w:footer="403" w:gutter="0"/>
          <w:pgNumType w:fmt="lowerRoman" w:start="1"/>
          <w:cols w:space="720"/>
          <w:titlePg/>
          <w:docGrid w:linePitch="360"/>
        </w:sectPr>
      </w:pPr>
      <w:r>
        <w:rPr>
          <w:b/>
          <w:bCs/>
          <w:color w:val="005D97"/>
          <w:sz w:val="24"/>
          <w:szCs w:val="24"/>
          <w:lang w:val="sq-AL"/>
        </w:rPr>
        <w:t>Avgust</w:t>
      </w:r>
      <w:r w:rsidR="00F62178" w:rsidRPr="0050005A">
        <w:rPr>
          <w:b/>
          <w:bCs/>
          <w:color w:val="005D97"/>
          <w:sz w:val="24"/>
          <w:szCs w:val="24"/>
          <w:lang w:val="sq-AL"/>
        </w:rPr>
        <w:t xml:space="preserve"> </w:t>
      </w:r>
      <w:r w:rsidR="00883824" w:rsidRPr="0050005A">
        <w:rPr>
          <w:b/>
          <w:bCs/>
          <w:color w:val="005D97"/>
          <w:sz w:val="24"/>
          <w:szCs w:val="24"/>
          <w:lang w:val="sq-AL"/>
        </w:rPr>
        <w:t>20</w:t>
      </w:r>
      <w:r w:rsidR="00C85E1B">
        <w:rPr>
          <w:b/>
          <w:bCs/>
          <w:color w:val="005D97"/>
          <w:sz w:val="24"/>
          <w:szCs w:val="24"/>
          <w:lang w:val="sq-AL"/>
        </w:rPr>
        <w:t>2</w:t>
      </w:r>
      <w:r w:rsidR="00CA1142">
        <w:rPr>
          <w:b/>
          <w:bCs/>
          <w:color w:val="005D97"/>
          <w:sz w:val="24"/>
          <w:szCs w:val="24"/>
          <w:lang w:val="sq-AL"/>
        </w:rPr>
        <w:t>1</w:t>
      </w:r>
    </w:p>
    <w:p w14:paraId="35C1D6BF" w14:textId="213B536A" w:rsidR="00417A40" w:rsidRPr="0050005A" w:rsidRDefault="00F11B8C">
      <w:pPr>
        <w:pStyle w:val="TOCHeading"/>
        <w:rPr>
          <w:lang w:val="sq-AL"/>
        </w:rPr>
      </w:pPr>
      <w:bookmarkStart w:id="0" w:name="_Toc411331414"/>
      <w:r>
        <w:rPr>
          <w:lang w:val="sq-AL"/>
        </w:rPr>
        <w:lastRenderedPageBreak/>
        <w:t>Sadržaj</w:t>
      </w:r>
    </w:p>
    <w:p w14:paraId="10EAE6AD" w14:textId="068156B5" w:rsidR="00F527A5" w:rsidRDefault="00F527A5">
      <w:pPr>
        <w:pStyle w:val="TOC1"/>
        <w:tabs>
          <w:tab w:val="left" w:pos="440"/>
          <w:tab w:val="right" w:leader="dot" w:pos="9017"/>
        </w:tabs>
        <w:rPr>
          <w:rFonts w:asciiTheme="minorHAnsi" w:eastAsiaTheme="minorEastAsia" w:hAnsiTheme="minorHAnsi" w:cstheme="minorBidi"/>
          <w:b w:val="0"/>
          <w:noProof/>
          <w:szCs w:val="22"/>
          <w:lang w:val="en-US"/>
        </w:rPr>
      </w:pPr>
      <w:r>
        <w:rPr>
          <w:b w:val="0"/>
          <w:lang w:val="sq-AL"/>
        </w:rPr>
        <w:fldChar w:fldCharType="begin"/>
      </w:r>
      <w:r>
        <w:rPr>
          <w:b w:val="0"/>
          <w:lang w:val="sq-AL"/>
        </w:rPr>
        <w:instrText xml:space="preserve"> TOC \o "1-3" \h \z \u </w:instrText>
      </w:r>
      <w:r>
        <w:rPr>
          <w:b w:val="0"/>
          <w:lang w:val="sq-AL"/>
        </w:rPr>
        <w:fldChar w:fldCharType="separate"/>
      </w:r>
      <w:hyperlink w:anchor="_Toc80691539" w:history="1">
        <w:r w:rsidRPr="00551CBA">
          <w:rPr>
            <w:rStyle w:val="Hyperlink"/>
            <w:noProof/>
            <w:lang w:val="sq-AL"/>
          </w:rPr>
          <w:t>1</w:t>
        </w:r>
        <w:r>
          <w:rPr>
            <w:rFonts w:asciiTheme="minorHAnsi" w:eastAsiaTheme="minorEastAsia" w:hAnsiTheme="minorHAnsi" w:cstheme="minorBidi"/>
            <w:b w:val="0"/>
            <w:noProof/>
            <w:szCs w:val="22"/>
            <w:lang w:val="en-US"/>
          </w:rPr>
          <w:tab/>
        </w:r>
        <w:r w:rsidR="00F11B8C">
          <w:rPr>
            <w:rStyle w:val="Hyperlink"/>
            <w:noProof/>
            <w:lang w:val="sq-AL"/>
          </w:rPr>
          <w:t>Uvod</w:t>
        </w:r>
        <w:r>
          <w:rPr>
            <w:noProof/>
            <w:webHidden/>
          </w:rPr>
          <w:tab/>
        </w:r>
        <w:r>
          <w:rPr>
            <w:noProof/>
            <w:webHidden/>
          </w:rPr>
          <w:fldChar w:fldCharType="begin"/>
        </w:r>
        <w:r>
          <w:rPr>
            <w:noProof/>
            <w:webHidden/>
          </w:rPr>
          <w:instrText xml:space="preserve"> PAGEREF _Toc80691539 \h </w:instrText>
        </w:r>
        <w:r>
          <w:rPr>
            <w:noProof/>
            <w:webHidden/>
          </w:rPr>
        </w:r>
        <w:r>
          <w:rPr>
            <w:noProof/>
            <w:webHidden/>
          </w:rPr>
          <w:fldChar w:fldCharType="separate"/>
        </w:r>
        <w:r>
          <w:rPr>
            <w:noProof/>
            <w:webHidden/>
          </w:rPr>
          <w:t>3</w:t>
        </w:r>
        <w:r>
          <w:rPr>
            <w:noProof/>
            <w:webHidden/>
          </w:rPr>
          <w:fldChar w:fldCharType="end"/>
        </w:r>
      </w:hyperlink>
    </w:p>
    <w:p w14:paraId="1EA04361" w14:textId="203A225F" w:rsidR="00F527A5" w:rsidRDefault="002E4DCA">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0" w:history="1">
        <w:r w:rsidR="00F527A5" w:rsidRPr="00551CBA">
          <w:rPr>
            <w:rStyle w:val="Hyperlink"/>
            <w:noProof/>
            <w:lang w:val="sq-AL"/>
          </w:rPr>
          <w:t>2</w:t>
        </w:r>
        <w:r w:rsidR="00F527A5">
          <w:rPr>
            <w:rFonts w:asciiTheme="minorHAnsi" w:eastAsiaTheme="minorEastAsia" w:hAnsiTheme="minorHAnsi" w:cstheme="minorBidi"/>
            <w:b w:val="0"/>
            <w:noProof/>
            <w:szCs w:val="22"/>
            <w:lang w:val="en-US"/>
          </w:rPr>
          <w:tab/>
        </w:r>
        <w:r w:rsidR="00F11B8C">
          <w:t>Prilagođavanja Maksimalnih Dozvoljenih Prihoda</w:t>
        </w:r>
        <w:r w:rsidR="00F527A5">
          <w:rPr>
            <w:noProof/>
            <w:webHidden/>
          </w:rPr>
          <w:tab/>
        </w:r>
        <w:r w:rsidR="00F527A5">
          <w:rPr>
            <w:noProof/>
            <w:webHidden/>
          </w:rPr>
          <w:fldChar w:fldCharType="begin"/>
        </w:r>
        <w:r w:rsidR="00F527A5">
          <w:rPr>
            <w:noProof/>
            <w:webHidden/>
          </w:rPr>
          <w:instrText xml:space="preserve"> PAGEREF _Toc80691540 \h </w:instrText>
        </w:r>
        <w:r w:rsidR="00F527A5">
          <w:rPr>
            <w:noProof/>
            <w:webHidden/>
          </w:rPr>
        </w:r>
        <w:r w:rsidR="00F527A5">
          <w:rPr>
            <w:noProof/>
            <w:webHidden/>
          </w:rPr>
          <w:fldChar w:fldCharType="separate"/>
        </w:r>
        <w:r w:rsidR="00F527A5">
          <w:rPr>
            <w:noProof/>
            <w:webHidden/>
          </w:rPr>
          <w:t>4</w:t>
        </w:r>
        <w:r w:rsidR="00F527A5">
          <w:rPr>
            <w:noProof/>
            <w:webHidden/>
          </w:rPr>
          <w:fldChar w:fldCharType="end"/>
        </w:r>
      </w:hyperlink>
    </w:p>
    <w:p w14:paraId="0545B37D" w14:textId="694EC8C4" w:rsidR="00F527A5" w:rsidRDefault="002E4DCA">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1" w:history="1">
        <w:r w:rsidR="00F527A5" w:rsidRPr="00551CBA">
          <w:rPr>
            <w:rStyle w:val="Hyperlink"/>
            <w:noProof/>
            <w:lang w:val="sq-AL"/>
          </w:rPr>
          <w:t>3</w:t>
        </w:r>
        <w:r w:rsidR="00F527A5">
          <w:rPr>
            <w:rFonts w:asciiTheme="minorHAnsi" w:eastAsiaTheme="minorEastAsia" w:hAnsiTheme="minorHAnsi" w:cstheme="minorBidi"/>
            <w:b w:val="0"/>
            <w:noProof/>
            <w:szCs w:val="22"/>
            <w:lang w:val="en-US"/>
          </w:rPr>
          <w:tab/>
        </w:r>
        <w:r w:rsidR="00F11B8C">
          <w:t>Bilans Električne Energije</w:t>
        </w:r>
        <w:r w:rsidR="00F527A5">
          <w:rPr>
            <w:noProof/>
            <w:webHidden/>
          </w:rPr>
          <w:tab/>
        </w:r>
        <w:r w:rsidR="00F527A5">
          <w:rPr>
            <w:noProof/>
            <w:webHidden/>
          </w:rPr>
          <w:fldChar w:fldCharType="begin"/>
        </w:r>
        <w:r w:rsidR="00F527A5">
          <w:rPr>
            <w:noProof/>
            <w:webHidden/>
          </w:rPr>
          <w:instrText xml:space="preserve"> PAGEREF _Toc80691541 \h </w:instrText>
        </w:r>
        <w:r w:rsidR="00F527A5">
          <w:rPr>
            <w:noProof/>
            <w:webHidden/>
          </w:rPr>
        </w:r>
        <w:r w:rsidR="00F527A5">
          <w:rPr>
            <w:noProof/>
            <w:webHidden/>
          </w:rPr>
          <w:fldChar w:fldCharType="separate"/>
        </w:r>
        <w:r w:rsidR="00F527A5">
          <w:rPr>
            <w:noProof/>
            <w:webHidden/>
          </w:rPr>
          <w:t>4</w:t>
        </w:r>
        <w:r w:rsidR="00F527A5">
          <w:rPr>
            <w:noProof/>
            <w:webHidden/>
          </w:rPr>
          <w:fldChar w:fldCharType="end"/>
        </w:r>
      </w:hyperlink>
    </w:p>
    <w:p w14:paraId="5E036E51" w14:textId="7D2F7918" w:rsidR="00F527A5" w:rsidRDefault="002E4DCA">
      <w:pPr>
        <w:pStyle w:val="TOC2"/>
        <w:tabs>
          <w:tab w:val="left" w:pos="880"/>
          <w:tab w:val="right" w:leader="dot" w:pos="9017"/>
        </w:tabs>
        <w:rPr>
          <w:rFonts w:asciiTheme="minorHAnsi" w:eastAsiaTheme="minorEastAsia" w:hAnsiTheme="minorHAnsi" w:cstheme="minorBidi"/>
          <w:noProof/>
          <w:szCs w:val="22"/>
          <w:lang w:val="en-US"/>
        </w:rPr>
      </w:pPr>
      <w:hyperlink w:anchor="_Toc80691542" w:history="1">
        <w:r w:rsidR="00F527A5" w:rsidRPr="00551CBA">
          <w:rPr>
            <w:rStyle w:val="Hyperlink"/>
            <w:noProof/>
            <w:lang w:val="sq-AL"/>
          </w:rPr>
          <w:t>3.1</w:t>
        </w:r>
        <w:r w:rsidR="00F527A5">
          <w:rPr>
            <w:rFonts w:asciiTheme="minorHAnsi" w:eastAsiaTheme="minorEastAsia" w:hAnsiTheme="minorHAnsi" w:cstheme="minorBidi"/>
            <w:noProof/>
            <w:szCs w:val="22"/>
            <w:lang w:val="en-US"/>
          </w:rPr>
          <w:tab/>
        </w:r>
        <w:r w:rsidR="00F11B8C">
          <w:t>Procena Bilansa Ostvarene i Predviđene Električne Energije ........</w:t>
        </w:r>
        <w:r w:rsidR="00F527A5">
          <w:rPr>
            <w:noProof/>
            <w:webHidden/>
          </w:rPr>
          <w:tab/>
        </w:r>
        <w:r w:rsidR="00F527A5">
          <w:rPr>
            <w:noProof/>
            <w:webHidden/>
          </w:rPr>
          <w:fldChar w:fldCharType="begin"/>
        </w:r>
        <w:r w:rsidR="00F527A5">
          <w:rPr>
            <w:noProof/>
            <w:webHidden/>
          </w:rPr>
          <w:instrText xml:space="preserve"> PAGEREF _Toc80691542 \h </w:instrText>
        </w:r>
        <w:r w:rsidR="00F527A5">
          <w:rPr>
            <w:noProof/>
            <w:webHidden/>
          </w:rPr>
        </w:r>
        <w:r w:rsidR="00F527A5">
          <w:rPr>
            <w:noProof/>
            <w:webHidden/>
          </w:rPr>
          <w:fldChar w:fldCharType="separate"/>
        </w:r>
        <w:r w:rsidR="00F527A5">
          <w:rPr>
            <w:noProof/>
            <w:webHidden/>
          </w:rPr>
          <w:t>5</w:t>
        </w:r>
        <w:r w:rsidR="00F527A5">
          <w:rPr>
            <w:noProof/>
            <w:webHidden/>
          </w:rPr>
          <w:fldChar w:fldCharType="end"/>
        </w:r>
      </w:hyperlink>
    </w:p>
    <w:p w14:paraId="44AC0433" w14:textId="50900FE6" w:rsidR="00F527A5" w:rsidRDefault="002E4DCA">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3" w:history="1">
        <w:r w:rsidR="00F527A5" w:rsidRPr="00551CBA">
          <w:rPr>
            <w:rStyle w:val="Hyperlink"/>
            <w:noProof/>
            <w:lang w:val="sq-AL"/>
          </w:rPr>
          <w:t>4</w:t>
        </w:r>
        <w:r w:rsidR="00F527A5">
          <w:rPr>
            <w:rFonts w:asciiTheme="minorHAnsi" w:eastAsiaTheme="minorEastAsia" w:hAnsiTheme="minorHAnsi" w:cstheme="minorBidi"/>
            <w:b w:val="0"/>
            <w:noProof/>
            <w:szCs w:val="22"/>
            <w:lang w:val="en-US"/>
          </w:rPr>
          <w:tab/>
        </w:r>
        <w:r w:rsidR="00F11B8C">
          <w:t>Redovna prilagođavanja</w:t>
        </w:r>
        <w:r w:rsidR="00F527A5">
          <w:rPr>
            <w:noProof/>
            <w:webHidden/>
          </w:rPr>
          <w:tab/>
        </w:r>
        <w:r w:rsidR="00F527A5">
          <w:rPr>
            <w:noProof/>
            <w:webHidden/>
          </w:rPr>
          <w:fldChar w:fldCharType="begin"/>
        </w:r>
        <w:r w:rsidR="00F527A5">
          <w:rPr>
            <w:noProof/>
            <w:webHidden/>
          </w:rPr>
          <w:instrText xml:space="preserve"> PAGEREF _Toc80691543 \h </w:instrText>
        </w:r>
        <w:r w:rsidR="00F527A5">
          <w:rPr>
            <w:noProof/>
            <w:webHidden/>
          </w:rPr>
        </w:r>
        <w:r w:rsidR="00F527A5">
          <w:rPr>
            <w:noProof/>
            <w:webHidden/>
          </w:rPr>
          <w:fldChar w:fldCharType="separate"/>
        </w:r>
        <w:r w:rsidR="00F527A5">
          <w:rPr>
            <w:noProof/>
            <w:webHidden/>
          </w:rPr>
          <w:t>6</w:t>
        </w:r>
        <w:r w:rsidR="00F527A5">
          <w:rPr>
            <w:noProof/>
            <w:webHidden/>
          </w:rPr>
          <w:fldChar w:fldCharType="end"/>
        </w:r>
      </w:hyperlink>
    </w:p>
    <w:p w14:paraId="1629EC26" w14:textId="329CC6CA" w:rsidR="00F527A5" w:rsidRDefault="002E4DCA">
      <w:pPr>
        <w:pStyle w:val="TOC2"/>
        <w:tabs>
          <w:tab w:val="left" w:pos="880"/>
          <w:tab w:val="right" w:leader="dot" w:pos="9017"/>
        </w:tabs>
        <w:rPr>
          <w:rFonts w:asciiTheme="minorHAnsi" w:eastAsiaTheme="minorEastAsia" w:hAnsiTheme="minorHAnsi" w:cstheme="minorBidi"/>
          <w:noProof/>
          <w:szCs w:val="22"/>
          <w:lang w:val="en-US"/>
        </w:rPr>
      </w:pPr>
      <w:hyperlink w:anchor="_Toc80691544" w:history="1">
        <w:r w:rsidR="00F527A5" w:rsidRPr="00551CBA">
          <w:rPr>
            <w:rStyle w:val="Hyperlink"/>
            <w:noProof/>
            <w:lang w:val="sq-AL"/>
          </w:rPr>
          <w:t>4.1</w:t>
        </w:r>
        <w:r w:rsidR="00F527A5">
          <w:rPr>
            <w:rFonts w:asciiTheme="minorHAnsi" w:eastAsiaTheme="minorEastAsia" w:hAnsiTheme="minorHAnsi" w:cstheme="minorBidi"/>
            <w:noProof/>
            <w:szCs w:val="22"/>
            <w:lang w:val="en-US"/>
          </w:rPr>
          <w:tab/>
        </w:r>
        <w:r w:rsidR="00F11B8C">
          <w:t>Prilagođavanja za stopu inflacije</w:t>
        </w:r>
        <w:r w:rsidR="00F527A5">
          <w:rPr>
            <w:noProof/>
            <w:webHidden/>
          </w:rPr>
          <w:tab/>
        </w:r>
        <w:r w:rsidR="00F527A5">
          <w:rPr>
            <w:noProof/>
            <w:webHidden/>
          </w:rPr>
          <w:fldChar w:fldCharType="begin"/>
        </w:r>
        <w:r w:rsidR="00F527A5">
          <w:rPr>
            <w:noProof/>
            <w:webHidden/>
          </w:rPr>
          <w:instrText xml:space="preserve"> PAGEREF _Toc80691544 \h </w:instrText>
        </w:r>
        <w:r w:rsidR="00F527A5">
          <w:rPr>
            <w:noProof/>
            <w:webHidden/>
          </w:rPr>
        </w:r>
        <w:r w:rsidR="00F527A5">
          <w:rPr>
            <w:noProof/>
            <w:webHidden/>
          </w:rPr>
          <w:fldChar w:fldCharType="separate"/>
        </w:r>
        <w:r w:rsidR="00F527A5">
          <w:rPr>
            <w:noProof/>
            <w:webHidden/>
          </w:rPr>
          <w:t>7</w:t>
        </w:r>
        <w:r w:rsidR="00F527A5">
          <w:rPr>
            <w:noProof/>
            <w:webHidden/>
          </w:rPr>
          <w:fldChar w:fldCharType="end"/>
        </w:r>
      </w:hyperlink>
    </w:p>
    <w:p w14:paraId="61553C8D" w14:textId="51422846" w:rsidR="00F527A5" w:rsidRDefault="002E4DCA">
      <w:pPr>
        <w:pStyle w:val="TOC2"/>
        <w:tabs>
          <w:tab w:val="left" w:pos="880"/>
          <w:tab w:val="right" w:leader="dot" w:pos="9017"/>
        </w:tabs>
        <w:rPr>
          <w:rFonts w:asciiTheme="minorHAnsi" w:eastAsiaTheme="minorEastAsia" w:hAnsiTheme="minorHAnsi" w:cstheme="minorBidi"/>
          <w:noProof/>
          <w:szCs w:val="22"/>
          <w:lang w:val="en-US"/>
        </w:rPr>
      </w:pPr>
      <w:hyperlink w:anchor="_Toc80691545" w:history="1">
        <w:r w:rsidR="00F527A5" w:rsidRPr="00551CBA">
          <w:rPr>
            <w:rStyle w:val="Hyperlink"/>
            <w:noProof/>
          </w:rPr>
          <w:t>4.2</w:t>
        </w:r>
        <w:r w:rsidR="00F527A5">
          <w:rPr>
            <w:rFonts w:asciiTheme="minorHAnsi" w:eastAsiaTheme="minorEastAsia" w:hAnsiTheme="minorHAnsi" w:cstheme="minorBidi"/>
            <w:noProof/>
            <w:szCs w:val="22"/>
            <w:lang w:val="en-US"/>
          </w:rPr>
          <w:tab/>
        </w:r>
        <w:r w:rsidR="00F11B8C" w:rsidRPr="00F11B8C">
          <w:rPr>
            <w:rFonts w:asciiTheme="minorHAnsi" w:eastAsiaTheme="minorEastAsia" w:hAnsiTheme="minorHAnsi" w:cstheme="minorBidi"/>
            <w:noProof/>
            <w:szCs w:val="22"/>
            <w:lang w:val="en-US"/>
          </w:rPr>
          <w:t>Dodatni troškovi povezani sa</w:t>
        </w:r>
        <w:r w:rsidR="00F11B8C" w:rsidRPr="00F11B8C">
          <w:rPr>
            <w:rStyle w:val="Hyperlink"/>
            <w:rFonts w:asciiTheme="minorHAnsi" w:eastAsiaTheme="minorEastAsia" w:hAnsiTheme="minorHAnsi" w:cstheme="minorBidi"/>
            <w:noProof/>
            <w:color w:val="auto"/>
            <w:szCs w:val="22"/>
            <w:u w:val="none"/>
            <w:lang w:val="en-US"/>
          </w:rPr>
          <w:t xml:space="preserve"> </w:t>
        </w:r>
        <w:r w:rsidR="00F527A5" w:rsidRPr="00551CBA">
          <w:rPr>
            <w:rStyle w:val="Hyperlink"/>
            <w:noProof/>
          </w:rPr>
          <w:t>COVID-19</w:t>
        </w:r>
        <w:r w:rsidR="00F527A5">
          <w:rPr>
            <w:noProof/>
            <w:webHidden/>
          </w:rPr>
          <w:tab/>
        </w:r>
        <w:r w:rsidR="00F527A5">
          <w:rPr>
            <w:noProof/>
            <w:webHidden/>
          </w:rPr>
          <w:fldChar w:fldCharType="begin"/>
        </w:r>
        <w:r w:rsidR="00F527A5">
          <w:rPr>
            <w:noProof/>
            <w:webHidden/>
          </w:rPr>
          <w:instrText xml:space="preserve"> PAGEREF _Toc80691545 \h </w:instrText>
        </w:r>
        <w:r w:rsidR="00F527A5">
          <w:rPr>
            <w:noProof/>
            <w:webHidden/>
          </w:rPr>
        </w:r>
        <w:r w:rsidR="00F527A5">
          <w:rPr>
            <w:noProof/>
            <w:webHidden/>
          </w:rPr>
          <w:fldChar w:fldCharType="separate"/>
        </w:r>
        <w:r w:rsidR="00F527A5">
          <w:rPr>
            <w:noProof/>
            <w:webHidden/>
          </w:rPr>
          <w:t>7</w:t>
        </w:r>
        <w:r w:rsidR="00F527A5">
          <w:rPr>
            <w:noProof/>
            <w:webHidden/>
          </w:rPr>
          <w:fldChar w:fldCharType="end"/>
        </w:r>
      </w:hyperlink>
    </w:p>
    <w:p w14:paraId="1E00E9C2" w14:textId="54BA0255" w:rsidR="00F527A5" w:rsidRDefault="002E4DCA">
      <w:pPr>
        <w:pStyle w:val="TOC2"/>
        <w:tabs>
          <w:tab w:val="left" w:pos="880"/>
          <w:tab w:val="right" w:leader="dot" w:pos="9017"/>
        </w:tabs>
        <w:rPr>
          <w:rFonts w:asciiTheme="minorHAnsi" w:eastAsiaTheme="minorEastAsia" w:hAnsiTheme="minorHAnsi" w:cstheme="minorBidi"/>
          <w:noProof/>
          <w:szCs w:val="22"/>
          <w:lang w:val="en-US"/>
        </w:rPr>
      </w:pPr>
      <w:hyperlink w:anchor="_Toc80691546" w:history="1">
        <w:r w:rsidR="00F527A5" w:rsidRPr="00551CBA">
          <w:rPr>
            <w:rStyle w:val="Hyperlink"/>
            <w:noProof/>
            <w:lang w:val="sq-AL"/>
          </w:rPr>
          <w:t>4.3</w:t>
        </w:r>
        <w:r w:rsidR="00F527A5">
          <w:rPr>
            <w:rFonts w:asciiTheme="minorHAnsi" w:eastAsiaTheme="minorEastAsia" w:hAnsiTheme="minorHAnsi" w:cstheme="minorBidi"/>
            <w:noProof/>
            <w:szCs w:val="22"/>
            <w:lang w:val="en-US"/>
          </w:rPr>
          <w:tab/>
        </w:r>
        <w:r w:rsidR="00F11B8C">
          <w:t>Prilagođavanja za prenosnu potrošnju ....</w:t>
        </w:r>
        <w:r w:rsidR="00F527A5">
          <w:rPr>
            <w:noProof/>
            <w:webHidden/>
          </w:rPr>
          <w:tab/>
        </w:r>
        <w:r w:rsidR="00F527A5">
          <w:rPr>
            <w:noProof/>
            <w:webHidden/>
          </w:rPr>
          <w:fldChar w:fldCharType="begin"/>
        </w:r>
        <w:r w:rsidR="00F527A5">
          <w:rPr>
            <w:noProof/>
            <w:webHidden/>
          </w:rPr>
          <w:instrText xml:space="preserve"> PAGEREF _Toc80691546 \h </w:instrText>
        </w:r>
        <w:r w:rsidR="00F527A5">
          <w:rPr>
            <w:noProof/>
            <w:webHidden/>
          </w:rPr>
        </w:r>
        <w:r w:rsidR="00F527A5">
          <w:rPr>
            <w:noProof/>
            <w:webHidden/>
          </w:rPr>
          <w:fldChar w:fldCharType="separate"/>
        </w:r>
        <w:r w:rsidR="00F527A5">
          <w:rPr>
            <w:noProof/>
            <w:webHidden/>
          </w:rPr>
          <w:t>8</w:t>
        </w:r>
        <w:r w:rsidR="00F527A5">
          <w:rPr>
            <w:noProof/>
            <w:webHidden/>
          </w:rPr>
          <w:fldChar w:fldCharType="end"/>
        </w:r>
      </w:hyperlink>
    </w:p>
    <w:p w14:paraId="2414669C" w14:textId="1DFEEE8D" w:rsidR="00F527A5" w:rsidRDefault="002E4DCA">
      <w:pPr>
        <w:pStyle w:val="TOC2"/>
        <w:tabs>
          <w:tab w:val="left" w:pos="880"/>
          <w:tab w:val="right" w:leader="dot" w:pos="9017"/>
        </w:tabs>
        <w:rPr>
          <w:rFonts w:asciiTheme="minorHAnsi" w:eastAsiaTheme="minorEastAsia" w:hAnsiTheme="minorHAnsi" w:cstheme="minorBidi"/>
          <w:noProof/>
          <w:szCs w:val="22"/>
          <w:lang w:val="en-US"/>
        </w:rPr>
      </w:pPr>
      <w:hyperlink w:anchor="_Toc80691547" w:history="1">
        <w:r w:rsidR="00F527A5" w:rsidRPr="00551CBA">
          <w:rPr>
            <w:rStyle w:val="Hyperlink"/>
            <w:noProof/>
            <w:lang w:val="sq-AL"/>
          </w:rPr>
          <w:t>4.4</w:t>
        </w:r>
        <w:r w:rsidR="00F527A5">
          <w:rPr>
            <w:rFonts w:asciiTheme="minorHAnsi" w:eastAsiaTheme="minorEastAsia" w:hAnsiTheme="minorHAnsi" w:cstheme="minorBidi"/>
            <w:noProof/>
            <w:szCs w:val="22"/>
            <w:lang w:val="en-US"/>
          </w:rPr>
          <w:tab/>
        </w:r>
        <w:r w:rsidR="00F11B8C">
          <w:t>Prilagođavanja izgubljene potrošnje.....</w:t>
        </w:r>
        <w:r w:rsidR="00F527A5">
          <w:rPr>
            <w:noProof/>
            <w:webHidden/>
          </w:rPr>
          <w:tab/>
        </w:r>
        <w:r w:rsidR="00F527A5">
          <w:rPr>
            <w:noProof/>
            <w:webHidden/>
          </w:rPr>
          <w:fldChar w:fldCharType="begin"/>
        </w:r>
        <w:r w:rsidR="00F527A5">
          <w:rPr>
            <w:noProof/>
            <w:webHidden/>
          </w:rPr>
          <w:instrText xml:space="preserve"> PAGEREF _Toc80691547 \h </w:instrText>
        </w:r>
        <w:r w:rsidR="00F527A5">
          <w:rPr>
            <w:noProof/>
            <w:webHidden/>
          </w:rPr>
        </w:r>
        <w:r w:rsidR="00F527A5">
          <w:rPr>
            <w:noProof/>
            <w:webHidden/>
          </w:rPr>
          <w:fldChar w:fldCharType="separate"/>
        </w:r>
        <w:r w:rsidR="00F527A5">
          <w:rPr>
            <w:noProof/>
            <w:webHidden/>
          </w:rPr>
          <w:t>8</w:t>
        </w:r>
        <w:r w:rsidR="00F527A5">
          <w:rPr>
            <w:noProof/>
            <w:webHidden/>
          </w:rPr>
          <w:fldChar w:fldCharType="end"/>
        </w:r>
      </w:hyperlink>
    </w:p>
    <w:p w14:paraId="3DB12BD0" w14:textId="662EED51" w:rsidR="00F527A5" w:rsidRDefault="002E4DCA">
      <w:pPr>
        <w:pStyle w:val="TOC2"/>
        <w:tabs>
          <w:tab w:val="left" w:pos="880"/>
          <w:tab w:val="right" w:leader="dot" w:pos="9017"/>
        </w:tabs>
        <w:rPr>
          <w:rFonts w:asciiTheme="minorHAnsi" w:eastAsiaTheme="minorEastAsia" w:hAnsiTheme="minorHAnsi" w:cstheme="minorBidi"/>
          <w:noProof/>
          <w:szCs w:val="22"/>
          <w:lang w:val="en-US"/>
        </w:rPr>
      </w:pPr>
      <w:hyperlink w:anchor="_Toc80691548" w:history="1">
        <w:r w:rsidR="00F527A5" w:rsidRPr="00551CBA">
          <w:rPr>
            <w:rStyle w:val="Hyperlink"/>
            <w:noProof/>
            <w:lang w:val="sq-AL"/>
          </w:rPr>
          <w:t>4.5</w:t>
        </w:r>
        <w:r w:rsidR="00F527A5">
          <w:rPr>
            <w:rFonts w:asciiTheme="minorHAnsi" w:eastAsiaTheme="minorEastAsia" w:hAnsiTheme="minorHAnsi" w:cstheme="minorBidi"/>
            <w:noProof/>
            <w:szCs w:val="22"/>
            <w:lang w:val="en-US"/>
          </w:rPr>
          <w:tab/>
        </w:r>
        <w:r w:rsidR="00F11B8C">
          <w:t>Prilagođavanja za ulazne tarife .</w:t>
        </w:r>
        <w:r w:rsidR="00F527A5">
          <w:rPr>
            <w:noProof/>
            <w:webHidden/>
          </w:rPr>
          <w:tab/>
        </w:r>
        <w:r w:rsidR="00F527A5">
          <w:rPr>
            <w:noProof/>
            <w:webHidden/>
          </w:rPr>
          <w:fldChar w:fldCharType="begin"/>
        </w:r>
        <w:r w:rsidR="00F527A5">
          <w:rPr>
            <w:noProof/>
            <w:webHidden/>
          </w:rPr>
          <w:instrText xml:space="preserve"> PAGEREF _Toc80691548 \h </w:instrText>
        </w:r>
        <w:r w:rsidR="00F527A5">
          <w:rPr>
            <w:noProof/>
            <w:webHidden/>
          </w:rPr>
        </w:r>
        <w:r w:rsidR="00F527A5">
          <w:rPr>
            <w:noProof/>
            <w:webHidden/>
          </w:rPr>
          <w:fldChar w:fldCharType="separate"/>
        </w:r>
        <w:r w:rsidR="00F527A5">
          <w:rPr>
            <w:noProof/>
            <w:webHidden/>
          </w:rPr>
          <w:t>9</w:t>
        </w:r>
        <w:r w:rsidR="00F527A5">
          <w:rPr>
            <w:noProof/>
            <w:webHidden/>
          </w:rPr>
          <w:fldChar w:fldCharType="end"/>
        </w:r>
      </w:hyperlink>
    </w:p>
    <w:p w14:paraId="50EAACCB" w14:textId="1A7A539C" w:rsidR="00F527A5" w:rsidRDefault="002E4DCA">
      <w:pPr>
        <w:pStyle w:val="TOC2"/>
        <w:tabs>
          <w:tab w:val="left" w:pos="880"/>
          <w:tab w:val="right" w:leader="dot" w:pos="9017"/>
        </w:tabs>
        <w:rPr>
          <w:rFonts w:asciiTheme="minorHAnsi" w:eastAsiaTheme="minorEastAsia" w:hAnsiTheme="minorHAnsi" w:cstheme="minorBidi"/>
          <w:noProof/>
          <w:szCs w:val="22"/>
          <w:lang w:val="en-US"/>
        </w:rPr>
      </w:pPr>
      <w:hyperlink w:anchor="_Toc80691549" w:history="1">
        <w:r w:rsidR="00F527A5" w:rsidRPr="00551CBA">
          <w:rPr>
            <w:rStyle w:val="Hyperlink"/>
            <w:noProof/>
            <w:lang w:val="sq-AL"/>
          </w:rPr>
          <w:t>4.6</w:t>
        </w:r>
        <w:r w:rsidR="00F527A5">
          <w:rPr>
            <w:rFonts w:asciiTheme="minorHAnsi" w:eastAsiaTheme="minorEastAsia" w:hAnsiTheme="minorHAnsi" w:cstheme="minorBidi"/>
            <w:noProof/>
            <w:szCs w:val="22"/>
            <w:lang w:val="en-US"/>
          </w:rPr>
          <w:tab/>
        </w:r>
        <w:r w:rsidR="00F11B8C">
          <w:t>Prilagođavanja za korektivni faktor prihoda</w:t>
        </w:r>
        <w:r w:rsidR="00F527A5">
          <w:rPr>
            <w:noProof/>
            <w:webHidden/>
          </w:rPr>
          <w:tab/>
        </w:r>
        <w:r w:rsidR="00F527A5">
          <w:rPr>
            <w:noProof/>
            <w:webHidden/>
          </w:rPr>
          <w:fldChar w:fldCharType="begin"/>
        </w:r>
        <w:r w:rsidR="00F527A5">
          <w:rPr>
            <w:noProof/>
            <w:webHidden/>
          </w:rPr>
          <w:instrText xml:space="preserve"> PAGEREF _Toc80691549 \h </w:instrText>
        </w:r>
        <w:r w:rsidR="00F527A5">
          <w:rPr>
            <w:noProof/>
            <w:webHidden/>
          </w:rPr>
        </w:r>
        <w:r w:rsidR="00F527A5">
          <w:rPr>
            <w:noProof/>
            <w:webHidden/>
          </w:rPr>
          <w:fldChar w:fldCharType="separate"/>
        </w:r>
        <w:r w:rsidR="00F527A5">
          <w:rPr>
            <w:noProof/>
            <w:webHidden/>
          </w:rPr>
          <w:t>10</w:t>
        </w:r>
        <w:r w:rsidR="00F527A5">
          <w:rPr>
            <w:noProof/>
            <w:webHidden/>
          </w:rPr>
          <w:fldChar w:fldCharType="end"/>
        </w:r>
      </w:hyperlink>
    </w:p>
    <w:p w14:paraId="55F3C69B" w14:textId="25BC33D2" w:rsidR="00F527A5" w:rsidRDefault="002E4DCA">
      <w:pPr>
        <w:pStyle w:val="TOC1"/>
        <w:tabs>
          <w:tab w:val="left" w:pos="440"/>
          <w:tab w:val="right" w:leader="dot" w:pos="9017"/>
        </w:tabs>
        <w:rPr>
          <w:rFonts w:asciiTheme="minorHAnsi" w:eastAsiaTheme="minorEastAsia" w:hAnsiTheme="minorHAnsi" w:cstheme="minorBidi"/>
          <w:b w:val="0"/>
          <w:noProof/>
          <w:szCs w:val="22"/>
          <w:lang w:val="en-US"/>
        </w:rPr>
      </w:pPr>
      <w:hyperlink w:anchor="_Toc80691550" w:history="1">
        <w:r w:rsidR="00F527A5" w:rsidRPr="00551CBA">
          <w:rPr>
            <w:rStyle w:val="Hyperlink"/>
            <w:noProof/>
            <w:lang w:val="sq-AL"/>
          </w:rPr>
          <w:t>5</w:t>
        </w:r>
        <w:r w:rsidR="00F527A5">
          <w:rPr>
            <w:rFonts w:asciiTheme="minorHAnsi" w:eastAsiaTheme="minorEastAsia" w:hAnsiTheme="minorHAnsi" w:cstheme="minorBidi"/>
            <w:b w:val="0"/>
            <w:noProof/>
            <w:szCs w:val="22"/>
            <w:lang w:val="en-US"/>
          </w:rPr>
          <w:tab/>
        </w:r>
        <w:r w:rsidR="00F11B8C">
          <w:t>Predlog za Maksimalni Dozvoljeni Prihod ODS-a ..</w:t>
        </w:r>
        <w:r w:rsidR="00F527A5">
          <w:rPr>
            <w:noProof/>
            <w:webHidden/>
          </w:rPr>
          <w:tab/>
        </w:r>
        <w:r w:rsidR="00F527A5">
          <w:rPr>
            <w:noProof/>
            <w:webHidden/>
          </w:rPr>
          <w:fldChar w:fldCharType="begin"/>
        </w:r>
        <w:r w:rsidR="00F527A5">
          <w:rPr>
            <w:noProof/>
            <w:webHidden/>
          </w:rPr>
          <w:instrText xml:space="preserve"> PAGEREF _Toc80691550 \h </w:instrText>
        </w:r>
        <w:r w:rsidR="00F527A5">
          <w:rPr>
            <w:noProof/>
            <w:webHidden/>
          </w:rPr>
        </w:r>
        <w:r w:rsidR="00F527A5">
          <w:rPr>
            <w:noProof/>
            <w:webHidden/>
          </w:rPr>
          <w:fldChar w:fldCharType="separate"/>
        </w:r>
        <w:r w:rsidR="00F527A5">
          <w:rPr>
            <w:noProof/>
            <w:webHidden/>
          </w:rPr>
          <w:t>10</w:t>
        </w:r>
        <w:r w:rsidR="00F527A5">
          <w:rPr>
            <w:noProof/>
            <w:webHidden/>
          </w:rPr>
          <w:fldChar w:fldCharType="end"/>
        </w:r>
      </w:hyperlink>
    </w:p>
    <w:p w14:paraId="5650EAAD" w14:textId="11E40E86" w:rsidR="00417A40" w:rsidRPr="0050005A" w:rsidRDefault="00F527A5">
      <w:pPr>
        <w:rPr>
          <w:lang w:val="sq-AL"/>
        </w:rPr>
      </w:pPr>
      <w:r>
        <w:rPr>
          <w:rFonts w:eastAsia="Times New Roman" w:cs="Arial"/>
          <w:b/>
          <w:szCs w:val="24"/>
          <w:lang w:val="sq-AL"/>
        </w:rPr>
        <w:fldChar w:fldCharType="end"/>
      </w:r>
    </w:p>
    <w:p w14:paraId="7947D785" w14:textId="77777777" w:rsidR="001929A5" w:rsidRPr="0050005A" w:rsidRDefault="001929A5">
      <w:pPr>
        <w:spacing w:after="0" w:line="240" w:lineRule="auto"/>
        <w:rPr>
          <w:lang w:val="sq-AL"/>
        </w:rPr>
      </w:pPr>
      <w:r w:rsidRPr="0050005A">
        <w:rPr>
          <w:lang w:val="sq-AL"/>
        </w:rPr>
        <w:br w:type="page"/>
      </w:r>
    </w:p>
    <w:p w14:paraId="54240000" w14:textId="361554C3" w:rsidR="005A4350" w:rsidRPr="0050005A" w:rsidRDefault="004F02C6" w:rsidP="005A4350">
      <w:pPr>
        <w:pStyle w:val="Heading1"/>
        <w:rPr>
          <w:lang w:val="sq-AL"/>
        </w:rPr>
      </w:pPr>
      <w:r>
        <w:rPr>
          <w:lang w:val="sq-AL"/>
        </w:rPr>
        <w:lastRenderedPageBreak/>
        <w:t>Uvod</w:t>
      </w:r>
    </w:p>
    <w:p w14:paraId="0420F56B" w14:textId="3F13D114" w:rsidR="00C85E1B" w:rsidRPr="008E6219" w:rsidRDefault="00707600" w:rsidP="00C85E1B">
      <w:pPr>
        <w:jc w:val="both"/>
        <w:rPr>
          <w:rFonts w:cs="Calibri"/>
          <w:lang w:val="sq-AL"/>
        </w:rPr>
      </w:pPr>
      <w:r>
        <w:t>Regulatorni Ured za Energiju (RUE) trenutno izvršava Godi</w:t>
      </w:r>
      <w:r>
        <w:rPr>
          <w:rFonts w:cs="Calibri"/>
        </w:rPr>
        <w:t>š</w:t>
      </w:r>
      <w:r>
        <w:t>nje Redovno Prilagođavanje za Maksimalni Dozvoljeni Prihod (MAR) koje će se pokrivati od Regulisanih Kompanija. U ovom procesu RUE će prihvatiti svakodnevni MAR za Operativni Sistem Prenosnog Tržišta (OPS/OT KOSPT) Operator Distributivnog Sistema (ODS, KEDS) i Snabdevač Univerzalnih Usluga Električne Energije (SUU), na osnovu podnošenih predloga i regulisanih kompanija kao i odlukama o Maksimalnim Dozvoljenim Prihodima za regulatorni period 2018-2022 za OPS/OT i KOSPT.</w:t>
      </w:r>
      <w:r w:rsidR="00C85E1B" w:rsidRPr="008E6219">
        <w:rPr>
          <w:rFonts w:cs="Calibri"/>
          <w:lang w:val="sq-AL"/>
        </w:rPr>
        <w:t xml:space="preserve"> </w:t>
      </w:r>
    </w:p>
    <w:p w14:paraId="7F73AF2F" w14:textId="506536C3" w:rsidR="00C85E1B" w:rsidRPr="008E6219" w:rsidRDefault="005C291C" w:rsidP="00C85E1B">
      <w:pPr>
        <w:jc w:val="both"/>
        <w:rPr>
          <w:rFonts w:cs="Calibri"/>
          <w:lang w:val="sq-AL"/>
        </w:rPr>
      </w:pPr>
      <w:r>
        <w:t>Regulisanje cene je predmet koji se upotrebljava od RUE na određeni način Maksimalnog Dozvoljenog P</w:t>
      </w:r>
      <w:r w:rsidR="00964B9D">
        <w:t>rihoda – MAR, koje će Regulisane K</w:t>
      </w:r>
      <w:r>
        <w:t xml:space="preserve">ompanije prikupiti za pružanje regulisanih usluga. MAR se određuje na nivou koje omogućava regulisanim licenciranima pokrivanje razložnih operativnih troškova i održavanje njihovih aktiva, i da ostvaruje razložni povratak u njihovim investicijama. Takođe; RUE određuje efikasnost ciljeva, koji ciljaju podizanje operativne efikasnosti kompanija i pružaju podsticaj za postizanje ciljeva ili kazne ako kompanije neuspešno dostignu do njih. </w:t>
      </w:r>
      <w:r w:rsidR="00C85E1B" w:rsidRPr="008E6219">
        <w:rPr>
          <w:rFonts w:cs="Calibri"/>
          <w:lang w:val="sq-AL"/>
        </w:rPr>
        <w:t xml:space="preserve"> </w:t>
      </w:r>
    </w:p>
    <w:p w14:paraId="14148973" w14:textId="46A3B9FE" w:rsidR="00C85E1B" w:rsidRDefault="00553AD9" w:rsidP="00C85E1B">
      <w:pPr>
        <w:jc w:val="both"/>
        <w:rPr>
          <w:rFonts w:cs="Calibri"/>
          <w:lang w:val="sq-AL"/>
        </w:rPr>
      </w:pPr>
      <w:r>
        <w:t xml:space="preserve">Osnovne vrednosti za komponente MAR su određene na Preglednom Periodu urađen 2018. godine i ostaju važeće za petogodišnji period. Trenutni pregled se bavi procenom predloga za MAR predstavljena od regulisanih kompanija, </w:t>
      </w:r>
      <w:r w:rsidRPr="00553AD9">
        <w:t>uzimajući u obzir trenutne podatke za 2020</w:t>
      </w:r>
      <w:r>
        <w:t xml:space="preserve">, </w:t>
      </w:r>
      <w:r w:rsidRPr="00553AD9">
        <w:t xml:space="preserve">kako bi se došlo do utvrđivanja prihoda za </w:t>
      </w:r>
      <w:r>
        <w:t xml:space="preserve">relevantnu tarifu 2021 godine. Ovaj pregled procenjuje ako predlozi licenciranih jesu obračunati u skladu </w:t>
      </w:r>
      <w:r w:rsidRPr="00553AD9">
        <w:t>sa</w:t>
      </w:r>
      <w:r>
        <w:t xml:space="preserve"> pravnim i regulatornim okvirom. </w:t>
      </w:r>
    </w:p>
    <w:p w14:paraId="7448A094" w14:textId="7F9AC4FC" w:rsidR="007A3F5D" w:rsidRPr="00154C01" w:rsidRDefault="00877D51" w:rsidP="007A3F5D">
      <w:pPr>
        <w:jc w:val="both"/>
        <w:rPr>
          <w:rFonts w:cs="Calibri"/>
          <w:lang w:val="sq-AL"/>
        </w:rPr>
      </w:pPr>
      <w:r w:rsidRPr="00877D51">
        <w:rPr>
          <w:rFonts w:cs="Calibri"/>
          <w:lang w:val="sq-AL"/>
        </w:rPr>
        <w:t xml:space="preserve">Proces </w:t>
      </w:r>
      <w:r>
        <w:rPr>
          <w:rFonts w:cs="Calibri"/>
          <w:lang w:val="sq-AL"/>
        </w:rPr>
        <w:t>prilagođavanja za relevantnu</w:t>
      </w:r>
      <w:r w:rsidR="001020CC">
        <w:rPr>
          <w:rFonts w:cs="Calibri"/>
          <w:lang w:val="sq-AL"/>
        </w:rPr>
        <w:t xml:space="preserve"> tarifnu godinu 2021. </w:t>
      </w:r>
      <w:r w:rsidR="001020CC" w:rsidRPr="001020CC">
        <w:rPr>
          <w:rFonts w:cs="Calibri"/>
          <w:lang w:val="sq-AL"/>
        </w:rPr>
        <w:t>uključuje</w:t>
      </w:r>
      <w:r w:rsidRPr="00877D51">
        <w:rPr>
          <w:rFonts w:cs="Calibri"/>
          <w:lang w:val="sq-AL"/>
        </w:rPr>
        <w:t xml:space="preserve"> period od 1. aprila 2021. do 31. marta 2022. godine, ali je zbog odsustva Odbora takav proces odložen. </w:t>
      </w:r>
      <w:r w:rsidR="00DE440D">
        <w:rPr>
          <w:rFonts w:cs="Calibri"/>
          <w:lang w:val="sq-AL"/>
        </w:rPr>
        <w:t>Kašnjenje u donošenju odluka o Maksimalno Dozvoljenim P</w:t>
      </w:r>
      <w:r w:rsidRPr="00877D51">
        <w:rPr>
          <w:rFonts w:cs="Calibri"/>
          <w:lang w:val="sq-AL"/>
        </w:rPr>
        <w:t>rihodima i tarifama za ovu relevantnu tarifnu go</w:t>
      </w:r>
      <w:r w:rsidR="00DE440D">
        <w:rPr>
          <w:rFonts w:cs="Calibri"/>
          <w:lang w:val="sq-AL"/>
        </w:rPr>
        <w:t>dinu biće ažurirano u narednoj</w:t>
      </w:r>
      <w:r w:rsidRPr="00877D51">
        <w:rPr>
          <w:rFonts w:cs="Calibri"/>
          <w:lang w:val="sq-AL"/>
        </w:rPr>
        <w:t xml:space="preserve"> relevantnoj tarifnoj godini 2022.</w:t>
      </w:r>
    </w:p>
    <w:p w14:paraId="72E9BF7D" w14:textId="7E68477D" w:rsidR="00C85E1B" w:rsidRDefault="00C562C4" w:rsidP="00C85E1B">
      <w:pPr>
        <w:jc w:val="both"/>
        <w:rPr>
          <w:rFonts w:cs="Calibri"/>
          <w:lang w:val="sq-AL"/>
        </w:rPr>
      </w:pPr>
      <w:r>
        <w:t>RUE poziva regulisane kompanije, potrošivače i sve ostale strane interesa, da daju svoj doprinos u ovom procesu, pregledajući i komentirajući podatke i predstavljene poglede na ovom Kosultativnom Izveštaju, na način da procena bude tačna za maksimalne dozvoljene prihode za Operatera Distributivnog Sistema</w:t>
      </w:r>
      <w:r w:rsidR="00813CE5">
        <w:t xml:space="preserve"> (OPS/KEDS). </w:t>
      </w:r>
      <w:r w:rsidR="00813CE5" w:rsidRPr="00813CE5">
        <w:t>Ove izveštaje treba analizirati, pozivajući se i na</w:t>
      </w:r>
      <w:r w:rsidR="00353889">
        <w:t xml:space="preserve"> završne izveštaje Periodičnog </w:t>
      </w:r>
      <w:r w:rsidR="00813CE5">
        <w:t>P</w:t>
      </w:r>
      <w:r w:rsidR="00353889">
        <w:t>r</w:t>
      </w:r>
      <w:bookmarkStart w:id="1" w:name="_GoBack"/>
      <w:bookmarkEnd w:id="1"/>
      <w:r w:rsidR="00813CE5" w:rsidRPr="00813CE5">
        <w:t>egleda 2018-2022.</w:t>
      </w:r>
    </w:p>
    <w:p w14:paraId="0C641FE4" w14:textId="1DF0D368" w:rsidR="00C85E1B" w:rsidRPr="008E6219" w:rsidRDefault="00813CE5" w:rsidP="00C85E1B">
      <w:pPr>
        <w:jc w:val="both"/>
        <w:rPr>
          <w:rFonts w:cs="Calibri"/>
          <w:lang w:val="sq-AL"/>
        </w:rPr>
      </w:pPr>
      <w:r>
        <w:t xml:space="preserve">Strane koje žele da predstave nihove eventualne o predlozima RUE-a pozivaju se da dostave njihove pismene komentare na elektronskoj pošti (e-mail) </w:t>
      </w:r>
      <w:hyperlink r:id="rId12" w:history="1">
        <w:r w:rsidRPr="008E6219">
          <w:rPr>
            <w:rStyle w:val="Hyperlink"/>
            <w:rFonts w:cs="Calibri"/>
            <w:lang w:val="sq-AL"/>
          </w:rPr>
          <w:t>ero.pricing-tariffs@ero-ks.org</w:t>
        </w:r>
      </w:hyperlink>
      <w:r>
        <w:t xml:space="preserve"> u roku do 06 septembra 2021. godine. Takođe, komentari se mogu poslati preko pošte</w:t>
      </w:r>
      <w:r w:rsidR="00C85E1B" w:rsidRPr="008E6219">
        <w:rPr>
          <w:rFonts w:cs="Calibri"/>
          <w:lang w:val="sq-AL"/>
        </w:rPr>
        <w:t>:</w:t>
      </w:r>
    </w:p>
    <w:p w14:paraId="723FAFF6" w14:textId="77777777" w:rsidR="00897981" w:rsidRPr="00897981" w:rsidRDefault="00897981" w:rsidP="00897981">
      <w:pPr>
        <w:spacing w:after="0" w:line="240" w:lineRule="auto"/>
        <w:rPr>
          <w:i/>
        </w:rPr>
      </w:pPr>
      <w:r w:rsidRPr="00897981">
        <w:rPr>
          <w:i/>
        </w:rPr>
        <w:t xml:space="preserve">Regulatorni Ured za Energiju </w:t>
      </w:r>
    </w:p>
    <w:p w14:paraId="2B3BCE7B" w14:textId="2FA8F00E" w:rsidR="00897981" w:rsidRPr="00897981" w:rsidRDefault="00897981" w:rsidP="00897981">
      <w:pPr>
        <w:spacing w:after="0" w:line="240" w:lineRule="auto"/>
        <w:rPr>
          <w:i/>
        </w:rPr>
      </w:pPr>
      <w:r>
        <w:rPr>
          <w:i/>
        </w:rPr>
        <w:t>Odeljenje za Tarifnu C</w:t>
      </w:r>
      <w:r w:rsidRPr="00897981">
        <w:rPr>
          <w:i/>
        </w:rPr>
        <w:t xml:space="preserve">enu </w:t>
      </w:r>
    </w:p>
    <w:p w14:paraId="1B84D044" w14:textId="306D1575" w:rsidR="005A4350" w:rsidRPr="00897981" w:rsidRDefault="00897981" w:rsidP="00897981">
      <w:pPr>
        <w:spacing w:after="0" w:line="240" w:lineRule="auto"/>
        <w:rPr>
          <w:rFonts w:cs="Calibri"/>
          <w:i/>
          <w:lang w:val="sq-AL"/>
        </w:rPr>
      </w:pPr>
      <w:r w:rsidRPr="00897981">
        <w:rPr>
          <w:i/>
        </w:rPr>
        <w:t>Ul. Dervish Rozhaja Br. 12, Priština, 10000, Kosovo</w:t>
      </w:r>
    </w:p>
    <w:p w14:paraId="513684E3" w14:textId="77777777" w:rsidR="005A4350" w:rsidRPr="00897981" w:rsidRDefault="005A4350" w:rsidP="005A4350">
      <w:pPr>
        <w:spacing w:after="0" w:line="240" w:lineRule="auto"/>
        <w:rPr>
          <w:rFonts w:cs="Calibri"/>
          <w:i/>
          <w:lang w:val="sq-AL"/>
        </w:rPr>
      </w:pPr>
    </w:p>
    <w:p w14:paraId="3394DD8B" w14:textId="0C3C475B" w:rsidR="005A4350" w:rsidRPr="00897981" w:rsidRDefault="00897981" w:rsidP="005A4350">
      <w:pPr>
        <w:rPr>
          <w:rFonts w:cs="Calibri"/>
          <w:b/>
          <w:lang w:val="sq-AL"/>
        </w:rPr>
      </w:pPr>
      <w:r w:rsidRPr="00897981">
        <w:rPr>
          <w:b/>
        </w:rPr>
        <w:t>Relevantni dokumenti</w:t>
      </w:r>
      <w:r w:rsidR="005A4350" w:rsidRPr="00897981">
        <w:rPr>
          <w:rFonts w:cs="Calibri"/>
          <w:b/>
          <w:lang w:val="sq-AL"/>
        </w:rPr>
        <w:t xml:space="preserve">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41"/>
      </w:tblGrid>
      <w:tr w:rsidR="005A4350" w:rsidRPr="004C2F15" w14:paraId="0963459E" w14:textId="77777777" w:rsidTr="001929A5">
        <w:tc>
          <w:tcPr>
            <w:tcW w:w="4248" w:type="dxa"/>
            <w:shd w:val="clear" w:color="auto" w:fill="auto"/>
          </w:tcPr>
          <w:p w14:paraId="7103F89B" w14:textId="3B914F7B" w:rsidR="005A4350" w:rsidRPr="006C2087" w:rsidRDefault="00897981" w:rsidP="00200343">
            <w:pPr>
              <w:spacing w:after="0" w:line="240" w:lineRule="auto"/>
              <w:rPr>
                <w:rFonts w:cs="Calibri"/>
                <w:lang w:val="sq-AL"/>
              </w:rPr>
            </w:pPr>
            <w:r>
              <w:t>Konačna procena MAR od ODS u okviru procesa Periodičnog pregleda – Detaljna Procena</w:t>
            </w:r>
          </w:p>
        </w:tc>
        <w:tc>
          <w:tcPr>
            <w:tcW w:w="5041" w:type="dxa"/>
            <w:shd w:val="clear" w:color="auto" w:fill="auto"/>
          </w:tcPr>
          <w:p w14:paraId="40654DB7" w14:textId="77777777" w:rsidR="00A53A8A" w:rsidRPr="005A449F" w:rsidRDefault="00A53A8A" w:rsidP="00200343">
            <w:pPr>
              <w:spacing w:after="0" w:line="240" w:lineRule="auto"/>
            </w:pPr>
            <w:r w:rsidRPr="005A449F">
              <w:t>http://ero-ks.org/2018/Raportet/Pergjigje%20ndaj%20komenteve%20te%20KEDS_PRR2_final.pdf</w:t>
            </w:r>
          </w:p>
        </w:tc>
      </w:tr>
      <w:tr w:rsidR="00200343" w:rsidRPr="0050005A" w14:paraId="2C35D93C" w14:textId="77777777" w:rsidTr="004F2CDC">
        <w:trPr>
          <w:trHeight w:val="484"/>
        </w:trPr>
        <w:tc>
          <w:tcPr>
            <w:tcW w:w="4248" w:type="dxa"/>
            <w:shd w:val="clear" w:color="auto" w:fill="auto"/>
          </w:tcPr>
          <w:p w14:paraId="40727399" w14:textId="1B55F633" w:rsidR="00200343" w:rsidRPr="006C2087" w:rsidRDefault="00FF0655" w:rsidP="002D231D">
            <w:pPr>
              <w:spacing w:after="0" w:line="240" w:lineRule="auto"/>
              <w:rPr>
                <w:rFonts w:cs="Calibri"/>
                <w:lang w:val="sq-AL"/>
              </w:rPr>
            </w:pPr>
            <w:r>
              <w:t xml:space="preserve">Prijava KEDS-a za </w:t>
            </w:r>
            <w:r w:rsidR="00200343" w:rsidRPr="006C2087">
              <w:rPr>
                <w:rFonts w:cs="Calibri"/>
                <w:lang w:val="sq-AL"/>
              </w:rPr>
              <w:t>20</w:t>
            </w:r>
            <w:r w:rsidR="00556BA0" w:rsidRPr="006C2087">
              <w:rPr>
                <w:rFonts w:cs="Calibri"/>
                <w:lang w:val="sq-AL"/>
              </w:rPr>
              <w:t>21</w:t>
            </w:r>
            <w:r>
              <w:rPr>
                <w:rFonts w:cs="Calibri"/>
                <w:lang w:val="sq-AL"/>
              </w:rPr>
              <w:t xml:space="preserve"> godinu</w:t>
            </w:r>
          </w:p>
        </w:tc>
        <w:tc>
          <w:tcPr>
            <w:tcW w:w="5041" w:type="dxa"/>
            <w:shd w:val="clear" w:color="auto" w:fill="auto"/>
          </w:tcPr>
          <w:p w14:paraId="01C98D14" w14:textId="6EBA37D8" w:rsidR="00200343" w:rsidRPr="00A53A8A" w:rsidRDefault="004F2CDC" w:rsidP="00200343">
            <w:pPr>
              <w:spacing w:after="0" w:line="240" w:lineRule="auto"/>
            </w:pPr>
            <w:r w:rsidRPr="004F2CDC">
              <w:t>https://www.ero-ks.org/zrre/sites/default/files/Konsultimet%20Publik</w:t>
            </w:r>
            <w:r w:rsidRPr="004F2CDC">
              <w:lastRenderedPageBreak/>
              <w:t>e/Aplikimi%20i%20OSSH-s%C3%AB%202021%20-%208%20Mars%202021.pdf</w:t>
            </w:r>
          </w:p>
        </w:tc>
      </w:tr>
      <w:bookmarkEnd w:id="0"/>
    </w:tbl>
    <w:p w14:paraId="28DBA9A5" w14:textId="77777777" w:rsidR="00417A40" w:rsidRPr="0050005A" w:rsidRDefault="00417A40" w:rsidP="00EE3EC1">
      <w:pPr>
        <w:jc w:val="both"/>
        <w:rPr>
          <w:rFonts w:eastAsia="Times New Roman" w:cs="Arial"/>
          <w:b/>
          <w:bCs/>
          <w:color w:val="003366"/>
          <w:sz w:val="28"/>
          <w:szCs w:val="24"/>
          <w:lang w:val="sq-AL"/>
        </w:rPr>
      </w:pPr>
    </w:p>
    <w:p w14:paraId="0E07D711" w14:textId="2B0682A0" w:rsidR="00417A40" w:rsidRPr="0050005A" w:rsidRDefault="00E635F5" w:rsidP="00417A40">
      <w:pPr>
        <w:pStyle w:val="Heading1"/>
        <w:rPr>
          <w:lang w:val="sq-AL"/>
        </w:rPr>
      </w:pPr>
      <w:r>
        <w:t>Prilagođavanje Maksimalno Dozvoljenih Prihoda</w:t>
      </w:r>
    </w:p>
    <w:p w14:paraId="5DD25C86" w14:textId="5BF96421" w:rsidR="00417A40" w:rsidRPr="0050005A" w:rsidRDefault="00ED747E" w:rsidP="00417A40">
      <w:pPr>
        <w:jc w:val="both"/>
        <w:rPr>
          <w:rFonts w:cs="Calibri"/>
          <w:lang w:val="sq-AL"/>
        </w:rPr>
      </w:pPr>
      <w:r>
        <w:t xml:space="preserve">RUE, na osnovu Pravila za Odluku Maksimalnih Dozvoljenih Prihoda za ODS, prihvatila je zahteve i pažljivo analizirala sve komponente potrošnje i zahteve licenciranih. U toku Procesa  Prilagođavanja, RUE upotrebljava uzete rezultate u toku procesa periodičnog pregleda 2018-2022. godine i priklađuje MAR da bi odrazila promene među troškova koje su bile predviđene i tokom Periodičnog Pregleda </w:t>
      </w:r>
      <w:r w:rsidRPr="00ED747E">
        <w:t>i trenutni</w:t>
      </w:r>
      <w:r>
        <w:t>h</w:t>
      </w:r>
      <w:r w:rsidRPr="00ED747E">
        <w:t xml:space="preserve"> razumni</w:t>
      </w:r>
      <w:r>
        <w:t xml:space="preserve">h troškova </w:t>
      </w:r>
      <w:r w:rsidRPr="00ED747E">
        <w:t>regulisanih operatora</w:t>
      </w:r>
      <w:r>
        <w:t xml:space="preserve">. U toku ovoga procesa RUE će: </w:t>
      </w:r>
      <w:r w:rsidR="00036514" w:rsidRPr="0050005A">
        <w:rPr>
          <w:rFonts w:cs="Calibri"/>
          <w:lang w:val="sq-AL"/>
        </w:rPr>
        <w:t xml:space="preserve"> </w:t>
      </w:r>
    </w:p>
    <w:p w14:paraId="6A34671B" w14:textId="36E97BC5" w:rsidR="00417A40" w:rsidRPr="0050005A" w:rsidRDefault="00223C5D" w:rsidP="00417A40">
      <w:pPr>
        <w:pStyle w:val="ListParagraph"/>
        <w:numPr>
          <w:ilvl w:val="0"/>
          <w:numId w:val="4"/>
        </w:numPr>
        <w:contextualSpacing w:val="0"/>
        <w:rPr>
          <w:lang w:val="sq-AL"/>
        </w:rPr>
      </w:pPr>
      <w:r>
        <w:t>Indeksira Operativne Troškove i Održavanja za Efikasnost Faktora koji se određuje tokom procesa periodičnog pregleda i za Godišnju inflaciju koji se određuje upotrebljavajući. Usklađeni Indeksi Potrošačkih Cena (HICP) za oblasti Evrozone</w:t>
      </w:r>
      <w:r w:rsidR="00417A40" w:rsidRPr="0050005A">
        <w:rPr>
          <w:lang w:val="sq-AL"/>
        </w:rPr>
        <w:t xml:space="preserve">; </w:t>
      </w:r>
    </w:p>
    <w:p w14:paraId="77645C42" w14:textId="3F6134CF" w:rsidR="00417A40" w:rsidRPr="0050005A" w:rsidRDefault="00176EBC" w:rsidP="00417A40">
      <w:pPr>
        <w:pStyle w:val="ListParagraph"/>
        <w:numPr>
          <w:ilvl w:val="0"/>
          <w:numId w:val="4"/>
        </w:numPr>
        <w:contextualSpacing w:val="0"/>
        <w:rPr>
          <w:lang w:val="sq-AL"/>
        </w:rPr>
      </w:pPr>
      <w:r>
        <w:t>Određuje Dozvoljene Potrošnje Gubitka (LSSCt) za ODS, i da ih ažurira tako da se uključi promena među dozvoljenim troškovima i ostvarenih gubitaka za prethodni Regulativni Period, koje su mogle nastati kao rezultat promena u troškovima nabavke energije na veliko ili promene toka električne energije u distributivnom sistemu</w:t>
      </w:r>
      <w:r w:rsidR="00417A40" w:rsidRPr="0050005A">
        <w:rPr>
          <w:lang w:val="sq-AL"/>
        </w:rPr>
        <w:t>;</w:t>
      </w:r>
    </w:p>
    <w:p w14:paraId="60344DEE" w14:textId="570F9B5D" w:rsidR="00036514" w:rsidRPr="0050005A" w:rsidRDefault="00176EBC" w:rsidP="00036514">
      <w:pPr>
        <w:pStyle w:val="ListParagraph"/>
        <w:numPr>
          <w:ilvl w:val="0"/>
          <w:numId w:val="4"/>
        </w:numPr>
        <w:contextualSpacing w:val="0"/>
        <w:rPr>
          <w:lang w:val="sq-AL"/>
        </w:rPr>
      </w:pPr>
      <w:r>
        <w:t>Ažurira MAR i ODS na odrazan način kako bi promenu među Dozvoljenih Prihoda i ostvarivih za relevantnu prethodnu godinu (t-L), uključujući i isključene prihode</w:t>
      </w:r>
      <w:r w:rsidR="00417A40" w:rsidRPr="0050005A">
        <w:rPr>
          <w:lang w:val="sq-AL"/>
        </w:rPr>
        <w:t xml:space="preserve">; </w:t>
      </w:r>
    </w:p>
    <w:p w14:paraId="519E8A56" w14:textId="71A1FF2A" w:rsidR="00417A40" w:rsidRPr="0050005A" w:rsidRDefault="00176EBC" w:rsidP="00417A40">
      <w:pPr>
        <w:pStyle w:val="ListParagraph"/>
        <w:numPr>
          <w:ilvl w:val="0"/>
          <w:numId w:val="4"/>
        </w:numPr>
        <w:contextualSpacing w:val="0"/>
        <w:rPr>
          <w:lang w:val="sq-AL"/>
        </w:rPr>
      </w:pPr>
      <w:r>
        <w:t>Određuje MAR od ODS za relevantnu godinu</w:t>
      </w:r>
      <w:r w:rsidR="00417A40" w:rsidRPr="0050005A">
        <w:rPr>
          <w:lang w:val="sq-AL"/>
        </w:rPr>
        <w:t xml:space="preserve"> t. </w:t>
      </w:r>
    </w:p>
    <w:p w14:paraId="4A2DEE24" w14:textId="73C186C2" w:rsidR="00417A40" w:rsidRPr="0009487F" w:rsidRDefault="00977991" w:rsidP="00417A40">
      <w:pPr>
        <w:pStyle w:val="Heading1"/>
        <w:rPr>
          <w:lang w:val="sq-AL"/>
        </w:rPr>
      </w:pPr>
      <w:r>
        <w:t>Balans Električne Energije</w:t>
      </w:r>
    </w:p>
    <w:p w14:paraId="5F15C04E" w14:textId="7BCF770D" w:rsidR="00216C61" w:rsidRDefault="00CD498D" w:rsidP="006951B0">
      <w:pPr>
        <w:jc w:val="both"/>
        <w:rPr>
          <w:lang w:val="sq-AL"/>
        </w:rPr>
      </w:pPr>
      <w:r>
        <w:t>RUE je upotrebio ažurirani balans za godinu 2021 u ovom pregledu tarifa. Međutim, obrada</w:t>
      </w:r>
      <w:r w:rsidRPr="00CD498D">
        <w:t xml:space="preserve"> potrošnje električne energije za kupce priključene na naponski nivo od 35kV i 10kV, vrši se u skladu sa stavom Odbora RUE da nastavi snabde</w:t>
      </w:r>
      <w:r>
        <w:t>vanje ovih kupaca od strane SUU-a</w:t>
      </w:r>
      <w:r w:rsidRPr="00CD498D">
        <w:t>, sa regulisanim tarifama</w:t>
      </w:r>
      <w:r>
        <w:t xml:space="preserve">. </w:t>
      </w:r>
      <w:r w:rsidRPr="00CD498D">
        <w:t>Pošto se KEDS prijavio za MAR 2021. godine, uzimajući u obzir deregulaciju kupaca priključenih na naponski nivo od 35kV i 10kV, postojaće razlike u osnovi analize koju koristi RUE i primeni ODS -a.</w:t>
      </w:r>
    </w:p>
    <w:p w14:paraId="607F5962" w14:textId="09277373" w:rsidR="00417A40" w:rsidRPr="0050005A" w:rsidRDefault="002E4DCA" w:rsidP="00417A40">
      <w:pPr>
        <w:pStyle w:val="Heading2"/>
        <w:rPr>
          <w:lang w:val="sq-AL"/>
        </w:rPr>
      </w:pPr>
      <w:bookmarkStart w:id="2" w:name="_Toc443060565"/>
      <w:r>
        <w:t xml:space="preserve">Procena balansa ostvarene i predviđene Električne energije </w:t>
      </w:r>
      <w:r w:rsidR="002D307B" w:rsidRPr="0050005A">
        <w:rPr>
          <w:lang w:val="sq-AL"/>
        </w:rPr>
        <w:t xml:space="preserve"> </w:t>
      </w:r>
      <w:r w:rsidR="00F65944" w:rsidRPr="0050005A">
        <w:rPr>
          <w:lang w:val="sq-AL"/>
        </w:rPr>
        <w:t xml:space="preserve"> </w:t>
      </w:r>
      <w:bookmarkEnd w:id="2"/>
    </w:p>
    <w:p w14:paraId="1094F7C5" w14:textId="6C590A23" w:rsidR="00723B45" w:rsidRDefault="002E4DCA" w:rsidP="004F3654">
      <w:pPr>
        <w:jc w:val="both"/>
        <w:rPr>
          <w:lang w:val="sq-AL"/>
        </w:rPr>
      </w:pPr>
      <w:r>
        <w:t xml:space="preserve">Svrhom vrednosne potrošnje koje se bave nabavkom gubitka na nivou ODS-a, RUE je analizarala izveštajne podatke od KEDS za </w:t>
      </w:r>
      <w:r w:rsidR="004E1EFA">
        <w:t>2020. godinu i podatke o predvi</w:t>
      </w:r>
      <w:r w:rsidR="004E1EFA">
        <w:rPr>
          <w:rFonts w:cs="Calibri"/>
        </w:rPr>
        <w:t>đ</w:t>
      </w:r>
      <w:r>
        <w:t xml:space="preserve">enom balansu za 2021. </w:t>
      </w:r>
      <w:r w:rsidR="00E01044">
        <w:t>g</w:t>
      </w:r>
      <w:r>
        <w:t>odinu</w:t>
      </w:r>
      <w:r w:rsidR="00E01044">
        <w:t xml:space="preserve">. </w:t>
      </w:r>
      <w:r w:rsidR="00E01044" w:rsidRPr="00E01044">
        <w:t xml:space="preserve">Analiza ostvarenog bilansa za 2020. </w:t>
      </w:r>
      <w:r w:rsidR="00E01044">
        <w:t>godinu i predvi</w:t>
      </w:r>
      <w:r w:rsidR="00E01044">
        <w:rPr>
          <w:rFonts w:cs="Calibri"/>
        </w:rPr>
        <w:t>đ</w:t>
      </w:r>
      <w:r w:rsidR="004E1EFA">
        <w:t>ene</w:t>
      </w:r>
      <w:r w:rsidR="00E01044">
        <w:t xml:space="preserve"> za 2021. predstavljena je na</w:t>
      </w:r>
      <w:r w:rsidR="00E01044" w:rsidRPr="00E01044">
        <w:t xml:space="preserve"> sljedećoj tabeli</w:t>
      </w:r>
      <w:r w:rsidR="00723B45" w:rsidRPr="0050005A">
        <w:rPr>
          <w:lang w:val="sq-AL"/>
        </w:rPr>
        <w:t>:</w:t>
      </w:r>
    </w:p>
    <w:p w14:paraId="3DF1FB03" w14:textId="1734CD57" w:rsidR="00E24FE1" w:rsidRPr="0050005A" w:rsidRDefault="00E24FE1" w:rsidP="00E24FE1">
      <w:pPr>
        <w:pStyle w:val="Caption"/>
        <w:spacing w:after="0"/>
        <w:ind w:left="720" w:firstLine="720"/>
        <w:rPr>
          <w:lang w:val="sq-AL"/>
        </w:rPr>
      </w:pPr>
      <w:r w:rsidRPr="0050005A">
        <w:rPr>
          <w:lang w:val="sq-AL"/>
        </w:rPr>
        <w:t xml:space="preserve">Tabela  </w:t>
      </w:r>
      <w:r>
        <w:rPr>
          <w:lang w:val="sq-AL"/>
        </w:rPr>
        <w:t>1</w:t>
      </w:r>
      <w:r w:rsidRPr="0050005A">
        <w:rPr>
          <w:lang w:val="sq-AL"/>
        </w:rPr>
        <w:t xml:space="preserve">: </w:t>
      </w:r>
      <w:r w:rsidR="00791F86">
        <w:t>Balans električne energije</w:t>
      </w:r>
    </w:p>
    <w:tbl>
      <w:tblPr>
        <w:tblW w:w="0" w:type="auto"/>
        <w:jc w:val="right"/>
        <w:tblLook w:val="04A0" w:firstRow="1" w:lastRow="0" w:firstColumn="1" w:lastColumn="0" w:noHBand="0" w:noVBand="1"/>
      </w:tblPr>
      <w:tblGrid>
        <w:gridCol w:w="4555"/>
        <w:gridCol w:w="879"/>
        <w:gridCol w:w="1380"/>
        <w:gridCol w:w="1283"/>
        <w:gridCol w:w="930"/>
      </w:tblGrid>
      <w:tr w:rsidR="00723B45" w:rsidRPr="00433712" w14:paraId="17DD2341" w14:textId="77777777" w:rsidTr="00A715BF">
        <w:trPr>
          <w:gridAfter w:val="1"/>
          <w:wAfter w:w="930" w:type="dxa"/>
          <w:trHeight w:val="570"/>
          <w:jc w:val="right"/>
        </w:trPr>
        <w:tc>
          <w:tcPr>
            <w:tcW w:w="0" w:type="auto"/>
            <w:tcBorders>
              <w:top w:val="nil"/>
              <w:left w:val="nil"/>
              <w:bottom w:val="nil"/>
              <w:right w:val="nil"/>
            </w:tcBorders>
            <w:shd w:val="clear" w:color="000000" w:fill="002060"/>
            <w:vAlign w:val="center"/>
            <w:hideMark/>
          </w:tcPr>
          <w:p w14:paraId="07376FA5" w14:textId="69ECE662" w:rsidR="00723B45" w:rsidRPr="00791F86" w:rsidRDefault="00791F86" w:rsidP="005B10D6">
            <w:pPr>
              <w:spacing w:after="0" w:line="240" w:lineRule="auto"/>
              <w:jc w:val="center"/>
              <w:rPr>
                <w:rFonts w:eastAsia="Times New Roman" w:cs="Calibri"/>
                <w:b/>
                <w:color w:val="FFFFFF"/>
                <w:sz w:val="20"/>
                <w:szCs w:val="20"/>
                <w:lang w:val="sq-AL" w:eastAsia="en-GB"/>
              </w:rPr>
            </w:pPr>
            <w:r w:rsidRPr="00791F86">
              <w:rPr>
                <w:sz w:val="20"/>
                <w:szCs w:val="20"/>
              </w:rPr>
              <w:t>Balans električne energije u ODS</w:t>
            </w:r>
          </w:p>
        </w:tc>
        <w:tc>
          <w:tcPr>
            <w:tcW w:w="0" w:type="auto"/>
            <w:tcBorders>
              <w:top w:val="nil"/>
              <w:left w:val="nil"/>
              <w:bottom w:val="nil"/>
              <w:right w:val="nil"/>
            </w:tcBorders>
            <w:shd w:val="clear" w:color="000000" w:fill="002060"/>
            <w:vAlign w:val="center"/>
            <w:hideMark/>
          </w:tcPr>
          <w:p w14:paraId="74C2C057" w14:textId="49CE95AD" w:rsidR="00723B45" w:rsidRPr="00433712" w:rsidRDefault="00791F86" w:rsidP="005B10D6">
            <w:pPr>
              <w:spacing w:after="0" w:line="240" w:lineRule="auto"/>
              <w:jc w:val="center"/>
              <w:rPr>
                <w:rFonts w:eastAsia="Times New Roman" w:cs="Calibri"/>
                <w:b/>
                <w:color w:val="FFFFFF"/>
                <w:sz w:val="20"/>
                <w:szCs w:val="20"/>
                <w:lang w:val="sq-AL" w:eastAsia="en-GB"/>
              </w:rPr>
            </w:pPr>
            <w:r>
              <w:rPr>
                <w:rFonts w:eastAsia="Times New Roman" w:cs="Calibri"/>
                <w:b/>
                <w:color w:val="FFFFFF"/>
                <w:sz w:val="20"/>
                <w:szCs w:val="20"/>
                <w:lang w:val="sq-AL" w:eastAsia="en-GB"/>
              </w:rPr>
              <w:t>Jedinica</w:t>
            </w:r>
          </w:p>
        </w:tc>
        <w:tc>
          <w:tcPr>
            <w:tcW w:w="1380" w:type="dxa"/>
            <w:tcBorders>
              <w:top w:val="nil"/>
              <w:left w:val="nil"/>
              <w:bottom w:val="nil"/>
              <w:right w:val="nil"/>
            </w:tcBorders>
            <w:shd w:val="clear" w:color="000000" w:fill="002060"/>
            <w:vAlign w:val="center"/>
            <w:hideMark/>
          </w:tcPr>
          <w:p w14:paraId="6E59BAAB" w14:textId="54053471" w:rsidR="00791F17" w:rsidRPr="00433712" w:rsidRDefault="00791F86" w:rsidP="005B10D6">
            <w:pPr>
              <w:spacing w:after="0" w:line="240" w:lineRule="auto"/>
              <w:jc w:val="center"/>
              <w:rPr>
                <w:rFonts w:eastAsia="Times New Roman" w:cs="Calibri"/>
                <w:b/>
                <w:color w:val="FFFFFF"/>
                <w:sz w:val="20"/>
                <w:szCs w:val="20"/>
                <w:lang w:val="sq-AL" w:eastAsia="en-GB"/>
              </w:rPr>
            </w:pPr>
            <w:r>
              <w:rPr>
                <w:rFonts w:eastAsia="Times New Roman" w:cs="Calibri"/>
                <w:b/>
                <w:color w:val="FFFFFF"/>
                <w:sz w:val="20"/>
                <w:szCs w:val="20"/>
                <w:lang w:val="sq-AL" w:eastAsia="en-GB"/>
              </w:rPr>
              <w:t>Ostvarenje</w:t>
            </w:r>
          </w:p>
          <w:p w14:paraId="035B3613" w14:textId="77777777" w:rsidR="00723B45" w:rsidRPr="00433712" w:rsidRDefault="00FC7837" w:rsidP="00433712">
            <w:pPr>
              <w:spacing w:after="0" w:line="240" w:lineRule="auto"/>
              <w:jc w:val="center"/>
              <w:rPr>
                <w:rFonts w:eastAsia="Times New Roman" w:cs="Calibri"/>
                <w:b/>
                <w:color w:val="FFFFFF"/>
                <w:sz w:val="20"/>
                <w:szCs w:val="20"/>
                <w:lang w:val="sq-AL" w:eastAsia="en-GB"/>
              </w:rPr>
            </w:pPr>
            <w:r>
              <w:rPr>
                <w:rFonts w:eastAsia="Times New Roman" w:cs="Calibri"/>
                <w:b/>
                <w:color w:val="FFFFFF"/>
                <w:sz w:val="20"/>
                <w:szCs w:val="20"/>
                <w:lang w:val="sq-AL" w:eastAsia="en-GB"/>
              </w:rPr>
              <w:t>2020</w:t>
            </w:r>
          </w:p>
        </w:tc>
        <w:tc>
          <w:tcPr>
            <w:tcW w:w="1283" w:type="dxa"/>
            <w:tcBorders>
              <w:top w:val="nil"/>
              <w:left w:val="nil"/>
              <w:bottom w:val="nil"/>
              <w:right w:val="nil"/>
            </w:tcBorders>
            <w:shd w:val="clear" w:color="000000" w:fill="002060"/>
            <w:vAlign w:val="center"/>
            <w:hideMark/>
          </w:tcPr>
          <w:p w14:paraId="5D36256E" w14:textId="7D248D3F" w:rsidR="00723B45" w:rsidRPr="00433712" w:rsidRDefault="00791F86" w:rsidP="005B10D6">
            <w:pPr>
              <w:spacing w:after="0" w:line="240" w:lineRule="auto"/>
              <w:jc w:val="center"/>
              <w:rPr>
                <w:rFonts w:eastAsia="Times New Roman" w:cs="Calibri"/>
                <w:b/>
                <w:color w:val="FFFFFF"/>
                <w:sz w:val="20"/>
                <w:szCs w:val="20"/>
                <w:lang w:val="sq-AL" w:eastAsia="en-GB"/>
              </w:rPr>
            </w:pPr>
            <w:r>
              <w:rPr>
                <w:rFonts w:eastAsia="Times New Roman" w:cs="Calibri"/>
                <w:b/>
                <w:color w:val="FFFFFF"/>
                <w:sz w:val="20"/>
                <w:szCs w:val="20"/>
                <w:lang w:val="sq-AL" w:eastAsia="en-GB"/>
              </w:rPr>
              <w:t>Predlog</w:t>
            </w:r>
          </w:p>
          <w:p w14:paraId="0146E573" w14:textId="77777777" w:rsidR="00791F17" w:rsidRPr="00433712" w:rsidRDefault="00791F17" w:rsidP="00433712">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20</w:t>
            </w:r>
            <w:r w:rsidR="00FC7837">
              <w:rPr>
                <w:rFonts w:eastAsia="Times New Roman" w:cs="Calibri"/>
                <w:b/>
                <w:color w:val="FFFFFF"/>
                <w:sz w:val="20"/>
                <w:szCs w:val="20"/>
                <w:lang w:val="sq-AL" w:eastAsia="en-GB"/>
              </w:rPr>
              <w:t>21</w:t>
            </w:r>
          </w:p>
        </w:tc>
      </w:tr>
      <w:tr w:rsidR="00723B45" w:rsidRPr="00433712" w14:paraId="502BA8A0" w14:textId="77777777" w:rsidTr="00A715BF">
        <w:trPr>
          <w:gridAfter w:val="1"/>
          <w:wAfter w:w="930" w:type="dxa"/>
          <w:trHeight w:val="300"/>
          <w:jc w:val="right"/>
        </w:trPr>
        <w:tc>
          <w:tcPr>
            <w:tcW w:w="0" w:type="auto"/>
            <w:tcBorders>
              <w:top w:val="nil"/>
              <w:left w:val="nil"/>
              <w:bottom w:val="nil"/>
              <w:right w:val="nil"/>
            </w:tcBorders>
            <w:shd w:val="clear" w:color="000000" w:fill="FFFFFF"/>
            <w:noWrap/>
            <w:vAlign w:val="bottom"/>
            <w:hideMark/>
          </w:tcPr>
          <w:p w14:paraId="199E2A1E" w14:textId="761F46EF" w:rsidR="00723B45" w:rsidRPr="00433712" w:rsidRDefault="004E1EFA" w:rsidP="005B10D6">
            <w:pPr>
              <w:spacing w:after="0" w:line="240" w:lineRule="auto"/>
              <w:rPr>
                <w:rFonts w:eastAsia="Times New Roman" w:cs="Calibri"/>
                <w:color w:val="000000"/>
                <w:lang w:val="sq-AL" w:eastAsia="en-GB"/>
              </w:rPr>
            </w:pPr>
            <w:r>
              <w:t>Ulaz u ODS</w:t>
            </w:r>
          </w:p>
        </w:tc>
        <w:tc>
          <w:tcPr>
            <w:tcW w:w="0" w:type="auto"/>
            <w:tcBorders>
              <w:top w:val="nil"/>
              <w:left w:val="nil"/>
              <w:bottom w:val="nil"/>
              <w:right w:val="nil"/>
            </w:tcBorders>
            <w:shd w:val="clear" w:color="000000" w:fill="FFFFFF"/>
            <w:noWrap/>
            <w:vAlign w:val="bottom"/>
            <w:hideMark/>
          </w:tcPr>
          <w:p w14:paraId="63C27409"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35EA6921" w14:textId="77777777" w:rsidR="00723B45" w:rsidRPr="00433712" w:rsidRDefault="0031382E"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5,</w:t>
            </w:r>
            <w:r w:rsidR="00FC7837">
              <w:rPr>
                <w:rFonts w:eastAsia="Times New Roman" w:cs="Calibri"/>
                <w:color w:val="000000"/>
                <w:lang w:val="sq-AL" w:eastAsia="en-GB"/>
              </w:rPr>
              <w:t>549</w:t>
            </w:r>
          </w:p>
        </w:tc>
        <w:tc>
          <w:tcPr>
            <w:tcW w:w="1283" w:type="dxa"/>
            <w:tcBorders>
              <w:top w:val="nil"/>
              <w:left w:val="nil"/>
              <w:bottom w:val="nil"/>
              <w:right w:val="nil"/>
            </w:tcBorders>
            <w:shd w:val="clear" w:color="000000" w:fill="FFFFFF"/>
            <w:noWrap/>
            <w:vAlign w:val="bottom"/>
            <w:hideMark/>
          </w:tcPr>
          <w:p w14:paraId="7CCFEFB3" w14:textId="77777777" w:rsidR="00723B45" w:rsidRPr="00433712" w:rsidRDefault="006C37D2" w:rsidP="00FB7B4C">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5,</w:t>
            </w:r>
            <w:r w:rsidR="00FC7837">
              <w:rPr>
                <w:rFonts w:eastAsia="Times New Roman" w:cs="Calibri"/>
                <w:color w:val="000000"/>
                <w:lang w:val="sq-AL" w:eastAsia="en-GB"/>
              </w:rPr>
              <w:t>452</w:t>
            </w:r>
          </w:p>
        </w:tc>
      </w:tr>
      <w:tr w:rsidR="00723B45" w:rsidRPr="00433712" w14:paraId="2E5E41DF" w14:textId="77777777" w:rsidTr="00A715BF">
        <w:trPr>
          <w:gridAfter w:val="1"/>
          <w:wAfter w:w="930" w:type="dxa"/>
          <w:trHeight w:val="300"/>
          <w:jc w:val="right"/>
        </w:trPr>
        <w:tc>
          <w:tcPr>
            <w:tcW w:w="0" w:type="auto"/>
            <w:tcBorders>
              <w:top w:val="nil"/>
              <w:left w:val="nil"/>
              <w:bottom w:val="nil"/>
              <w:right w:val="nil"/>
            </w:tcBorders>
            <w:shd w:val="clear" w:color="000000" w:fill="FFFFFF"/>
            <w:noWrap/>
            <w:vAlign w:val="bottom"/>
            <w:hideMark/>
          </w:tcPr>
          <w:p w14:paraId="35F0F30B" w14:textId="7A4B3F4B" w:rsidR="00723B45" w:rsidRPr="00433712" w:rsidRDefault="004E1EFA" w:rsidP="001929A5">
            <w:pPr>
              <w:spacing w:after="0" w:line="240" w:lineRule="auto"/>
              <w:rPr>
                <w:rFonts w:eastAsia="Times New Roman" w:cs="Calibri"/>
                <w:color w:val="000000"/>
                <w:lang w:val="sq-AL" w:eastAsia="en-GB"/>
              </w:rPr>
            </w:pPr>
            <w:r>
              <w:t>Nefakturisana energija na Sever</w:t>
            </w:r>
          </w:p>
        </w:tc>
        <w:tc>
          <w:tcPr>
            <w:tcW w:w="0" w:type="auto"/>
            <w:tcBorders>
              <w:top w:val="nil"/>
              <w:left w:val="nil"/>
              <w:bottom w:val="nil"/>
              <w:right w:val="nil"/>
            </w:tcBorders>
            <w:shd w:val="clear" w:color="000000" w:fill="FFFFFF"/>
            <w:noWrap/>
            <w:vAlign w:val="bottom"/>
            <w:hideMark/>
          </w:tcPr>
          <w:p w14:paraId="77A8BC91"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1F570322" w14:textId="77777777" w:rsidR="00723B45" w:rsidRPr="00433712" w:rsidRDefault="00FC7837" w:rsidP="00502489">
            <w:pPr>
              <w:spacing w:after="0" w:line="240" w:lineRule="auto"/>
              <w:jc w:val="center"/>
              <w:rPr>
                <w:rFonts w:eastAsia="Times New Roman" w:cs="Calibri"/>
                <w:color w:val="000000"/>
                <w:lang w:val="sq-AL" w:eastAsia="en-GB"/>
              </w:rPr>
            </w:pPr>
            <w:r>
              <w:rPr>
                <w:rFonts w:eastAsia="Times New Roman" w:cs="Calibri"/>
                <w:color w:val="000000"/>
                <w:lang w:val="sq-AL" w:eastAsia="en-GB"/>
              </w:rPr>
              <w:t>335</w:t>
            </w:r>
          </w:p>
        </w:tc>
        <w:tc>
          <w:tcPr>
            <w:tcW w:w="1283" w:type="dxa"/>
            <w:tcBorders>
              <w:top w:val="nil"/>
              <w:left w:val="nil"/>
              <w:bottom w:val="nil"/>
              <w:right w:val="nil"/>
            </w:tcBorders>
            <w:shd w:val="clear" w:color="000000" w:fill="FFFFFF"/>
            <w:noWrap/>
            <w:vAlign w:val="bottom"/>
            <w:hideMark/>
          </w:tcPr>
          <w:p w14:paraId="681FFDF3" w14:textId="77777777" w:rsidR="00723B45"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327</w:t>
            </w:r>
          </w:p>
        </w:tc>
      </w:tr>
      <w:tr w:rsidR="00723B45" w:rsidRPr="00433712" w14:paraId="6F44FACA" w14:textId="77777777" w:rsidTr="00A715BF">
        <w:trPr>
          <w:gridAfter w:val="1"/>
          <w:wAfter w:w="930" w:type="dxa"/>
          <w:trHeight w:val="300"/>
          <w:jc w:val="right"/>
        </w:trPr>
        <w:tc>
          <w:tcPr>
            <w:tcW w:w="0" w:type="auto"/>
            <w:tcBorders>
              <w:top w:val="nil"/>
              <w:left w:val="nil"/>
              <w:bottom w:val="nil"/>
              <w:right w:val="nil"/>
            </w:tcBorders>
            <w:shd w:val="clear" w:color="000000" w:fill="FFFFFF"/>
            <w:noWrap/>
            <w:vAlign w:val="bottom"/>
            <w:hideMark/>
          </w:tcPr>
          <w:p w14:paraId="7111E5BF" w14:textId="018D3E30" w:rsidR="00723B45" w:rsidRPr="00433712" w:rsidRDefault="004E1EFA" w:rsidP="001929A5">
            <w:pPr>
              <w:spacing w:after="0" w:line="240" w:lineRule="auto"/>
              <w:rPr>
                <w:rFonts w:eastAsia="Times New Roman" w:cs="Calibri"/>
                <w:color w:val="000000"/>
                <w:lang w:val="sq-AL" w:eastAsia="en-GB"/>
              </w:rPr>
            </w:pPr>
            <w:r>
              <w:t>Ulaz u ODS bez nefakturisane električne energije</w:t>
            </w:r>
          </w:p>
        </w:tc>
        <w:tc>
          <w:tcPr>
            <w:tcW w:w="0" w:type="auto"/>
            <w:tcBorders>
              <w:top w:val="nil"/>
              <w:left w:val="nil"/>
              <w:bottom w:val="nil"/>
              <w:right w:val="nil"/>
            </w:tcBorders>
            <w:shd w:val="clear" w:color="000000" w:fill="FFFFFF"/>
            <w:noWrap/>
            <w:vAlign w:val="bottom"/>
            <w:hideMark/>
          </w:tcPr>
          <w:p w14:paraId="56A7B324"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7A905580" w14:textId="77777777" w:rsidR="00723B45"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5,215</w:t>
            </w:r>
          </w:p>
        </w:tc>
        <w:tc>
          <w:tcPr>
            <w:tcW w:w="1283" w:type="dxa"/>
            <w:tcBorders>
              <w:top w:val="nil"/>
              <w:left w:val="nil"/>
              <w:bottom w:val="nil"/>
              <w:right w:val="nil"/>
            </w:tcBorders>
            <w:shd w:val="clear" w:color="000000" w:fill="FFFFFF"/>
            <w:noWrap/>
            <w:vAlign w:val="bottom"/>
            <w:hideMark/>
          </w:tcPr>
          <w:p w14:paraId="0E2CFF26" w14:textId="77777777" w:rsidR="00723B45" w:rsidRPr="00433712" w:rsidRDefault="00FC7837" w:rsidP="00FB7B4C">
            <w:pPr>
              <w:spacing w:after="0" w:line="240" w:lineRule="auto"/>
              <w:jc w:val="center"/>
              <w:rPr>
                <w:rFonts w:eastAsia="Times New Roman" w:cs="Calibri"/>
                <w:color w:val="000000"/>
                <w:lang w:val="sq-AL" w:eastAsia="en-GB"/>
              </w:rPr>
            </w:pPr>
            <w:r>
              <w:rPr>
                <w:rFonts w:eastAsia="Times New Roman" w:cs="Calibri"/>
                <w:color w:val="000000"/>
                <w:lang w:val="sq-AL" w:eastAsia="en-GB"/>
              </w:rPr>
              <w:t>5,221</w:t>
            </w:r>
          </w:p>
        </w:tc>
      </w:tr>
      <w:tr w:rsidR="00723B45" w:rsidRPr="00433712" w14:paraId="19FB14E9" w14:textId="77777777" w:rsidTr="00A715BF">
        <w:trPr>
          <w:gridAfter w:val="1"/>
          <w:wAfter w:w="930" w:type="dxa"/>
          <w:trHeight w:val="300"/>
          <w:jc w:val="right"/>
        </w:trPr>
        <w:tc>
          <w:tcPr>
            <w:tcW w:w="0" w:type="auto"/>
            <w:tcBorders>
              <w:top w:val="nil"/>
              <w:left w:val="nil"/>
              <w:bottom w:val="nil"/>
              <w:right w:val="nil"/>
            </w:tcBorders>
            <w:shd w:val="clear" w:color="000000" w:fill="FFFFFF"/>
            <w:noWrap/>
            <w:vAlign w:val="bottom"/>
            <w:hideMark/>
          </w:tcPr>
          <w:p w14:paraId="44561B1B"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nil"/>
              <w:right w:val="nil"/>
            </w:tcBorders>
            <w:shd w:val="clear" w:color="000000" w:fill="FFFFFF"/>
            <w:noWrap/>
            <w:vAlign w:val="bottom"/>
            <w:hideMark/>
          </w:tcPr>
          <w:p w14:paraId="365AC13D"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nil"/>
              <w:right w:val="nil"/>
            </w:tcBorders>
            <w:shd w:val="clear" w:color="000000" w:fill="FFFFFF"/>
            <w:noWrap/>
            <w:vAlign w:val="bottom"/>
            <w:hideMark/>
          </w:tcPr>
          <w:p w14:paraId="52B40040" w14:textId="77777777" w:rsidR="00723B45" w:rsidRPr="00433712" w:rsidRDefault="00723B45" w:rsidP="005B10D6">
            <w:pPr>
              <w:spacing w:after="0" w:line="240" w:lineRule="auto"/>
              <w:jc w:val="center"/>
              <w:rPr>
                <w:rFonts w:eastAsia="Times New Roman" w:cs="Calibri"/>
                <w:color w:val="000000"/>
                <w:lang w:val="sq-AL" w:eastAsia="en-GB"/>
              </w:rPr>
            </w:pPr>
          </w:p>
        </w:tc>
        <w:tc>
          <w:tcPr>
            <w:tcW w:w="1283" w:type="dxa"/>
            <w:tcBorders>
              <w:top w:val="nil"/>
              <w:left w:val="nil"/>
              <w:bottom w:val="nil"/>
              <w:right w:val="nil"/>
            </w:tcBorders>
            <w:shd w:val="clear" w:color="000000" w:fill="FFFFFF"/>
            <w:noWrap/>
            <w:vAlign w:val="bottom"/>
            <w:hideMark/>
          </w:tcPr>
          <w:p w14:paraId="5E7A6ED7" w14:textId="77777777" w:rsidR="00723B45" w:rsidRPr="00433712" w:rsidRDefault="00723B45" w:rsidP="005B10D6">
            <w:pPr>
              <w:spacing w:after="0" w:line="240" w:lineRule="auto"/>
              <w:jc w:val="center"/>
              <w:rPr>
                <w:rFonts w:eastAsia="Times New Roman" w:cs="Calibri"/>
                <w:color w:val="000000"/>
                <w:lang w:val="sq-AL" w:eastAsia="en-GB"/>
              </w:rPr>
            </w:pPr>
          </w:p>
        </w:tc>
      </w:tr>
      <w:tr w:rsidR="00723B45" w:rsidRPr="00433712" w14:paraId="0A2F3EDD" w14:textId="77777777" w:rsidTr="00A715BF">
        <w:trPr>
          <w:gridAfter w:val="1"/>
          <w:wAfter w:w="930" w:type="dxa"/>
          <w:trHeight w:val="300"/>
          <w:jc w:val="right"/>
        </w:trPr>
        <w:tc>
          <w:tcPr>
            <w:tcW w:w="0" w:type="auto"/>
            <w:tcBorders>
              <w:top w:val="nil"/>
              <w:left w:val="nil"/>
              <w:bottom w:val="nil"/>
              <w:right w:val="nil"/>
            </w:tcBorders>
            <w:shd w:val="clear" w:color="000000" w:fill="FFFFFF"/>
            <w:noWrap/>
            <w:vAlign w:val="bottom"/>
            <w:hideMark/>
          </w:tcPr>
          <w:p w14:paraId="505DEA36" w14:textId="46B4FE8E" w:rsidR="00723B45" w:rsidRPr="00433712" w:rsidRDefault="004E1EFA" w:rsidP="001929A5">
            <w:pPr>
              <w:spacing w:after="0" w:line="240" w:lineRule="auto"/>
              <w:rPr>
                <w:rFonts w:eastAsia="Times New Roman" w:cs="Calibri"/>
                <w:color w:val="000000"/>
                <w:lang w:val="sq-AL" w:eastAsia="en-GB"/>
              </w:rPr>
            </w:pPr>
            <w:r>
              <w:t>Nefakturisana energija</w:t>
            </w:r>
            <w:r w:rsidR="00556BA0">
              <w:rPr>
                <w:rFonts w:eastAsia="Times New Roman" w:cs="Calibri"/>
                <w:color w:val="000000"/>
                <w:lang w:val="sq-AL" w:eastAsia="en-GB"/>
              </w:rPr>
              <w:t xml:space="preserve"> </w:t>
            </w:r>
          </w:p>
        </w:tc>
        <w:tc>
          <w:tcPr>
            <w:tcW w:w="0" w:type="auto"/>
            <w:tcBorders>
              <w:top w:val="nil"/>
              <w:left w:val="nil"/>
              <w:bottom w:val="nil"/>
              <w:right w:val="nil"/>
            </w:tcBorders>
            <w:shd w:val="clear" w:color="000000" w:fill="FFFFFF"/>
            <w:noWrap/>
            <w:vAlign w:val="bottom"/>
            <w:hideMark/>
          </w:tcPr>
          <w:p w14:paraId="3DEF02F8"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nil"/>
              <w:right w:val="nil"/>
            </w:tcBorders>
            <w:shd w:val="clear" w:color="000000" w:fill="FFFFFF"/>
            <w:noWrap/>
            <w:vAlign w:val="bottom"/>
            <w:hideMark/>
          </w:tcPr>
          <w:p w14:paraId="1551A669" w14:textId="77777777" w:rsidR="00723B45" w:rsidRPr="00433712" w:rsidRDefault="00FC7837" w:rsidP="00433712">
            <w:pPr>
              <w:spacing w:after="0" w:line="240" w:lineRule="auto"/>
              <w:jc w:val="center"/>
              <w:rPr>
                <w:rFonts w:eastAsia="Times New Roman" w:cs="Calibri"/>
                <w:color w:val="000000"/>
                <w:lang w:val="sq-AL" w:eastAsia="en-GB"/>
              </w:rPr>
            </w:pPr>
            <w:r>
              <w:rPr>
                <w:rFonts w:eastAsia="Times New Roman" w:cs="Calibri"/>
                <w:color w:val="000000"/>
                <w:lang w:val="sq-AL" w:eastAsia="en-GB"/>
              </w:rPr>
              <w:t>6.0</w:t>
            </w:r>
            <w:r w:rsidR="00723B45" w:rsidRPr="00433712">
              <w:rPr>
                <w:rFonts w:eastAsia="Times New Roman" w:cs="Calibri"/>
                <w:color w:val="000000"/>
                <w:lang w:val="sq-AL" w:eastAsia="en-GB"/>
              </w:rPr>
              <w:t>%</w:t>
            </w:r>
          </w:p>
        </w:tc>
        <w:tc>
          <w:tcPr>
            <w:tcW w:w="1283" w:type="dxa"/>
            <w:tcBorders>
              <w:top w:val="nil"/>
              <w:left w:val="nil"/>
              <w:bottom w:val="nil"/>
              <w:right w:val="nil"/>
            </w:tcBorders>
            <w:shd w:val="clear" w:color="000000" w:fill="FFFFFF"/>
            <w:noWrap/>
            <w:vAlign w:val="bottom"/>
            <w:hideMark/>
          </w:tcPr>
          <w:p w14:paraId="7869B41A" w14:textId="77777777" w:rsidR="00723B45" w:rsidRPr="00433712" w:rsidRDefault="00FC7837" w:rsidP="00502489">
            <w:pPr>
              <w:spacing w:after="0" w:line="240" w:lineRule="auto"/>
              <w:jc w:val="center"/>
              <w:rPr>
                <w:rFonts w:eastAsia="Times New Roman" w:cs="Calibri"/>
                <w:color w:val="000000"/>
                <w:lang w:val="sq-AL" w:eastAsia="en-GB"/>
              </w:rPr>
            </w:pPr>
            <w:r>
              <w:rPr>
                <w:rFonts w:eastAsia="Times New Roman" w:cs="Calibri"/>
                <w:color w:val="000000"/>
                <w:lang w:val="sq-AL" w:eastAsia="en-GB"/>
              </w:rPr>
              <w:t>6.0</w:t>
            </w:r>
            <w:r w:rsidR="00723B45" w:rsidRPr="00433712">
              <w:rPr>
                <w:rFonts w:eastAsia="Times New Roman" w:cs="Calibri"/>
                <w:color w:val="000000"/>
                <w:lang w:val="sq-AL" w:eastAsia="en-GB"/>
              </w:rPr>
              <w:t>%</w:t>
            </w:r>
          </w:p>
        </w:tc>
      </w:tr>
      <w:tr w:rsidR="00723B45" w:rsidRPr="00433712" w14:paraId="07284088" w14:textId="77777777" w:rsidTr="00A715BF">
        <w:trPr>
          <w:gridAfter w:val="1"/>
          <w:wAfter w:w="930" w:type="dxa"/>
          <w:trHeight w:val="300"/>
          <w:jc w:val="right"/>
        </w:trPr>
        <w:tc>
          <w:tcPr>
            <w:tcW w:w="0" w:type="auto"/>
            <w:tcBorders>
              <w:top w:val="nil"/>
              <w:left w:val="nil"/>
              <w:bottom w:val="single" w:sz="4" w:space="0" w:color="auto"/>
              <w:right w:val="nil"/>
            </w:tcBorders>
            <w:shd w:val="clear" w:color="000000" w:fill="FFFFFF"/>
            <w:noWrap/>
            <w:vAlign w:val="bottom"/>
            <w:hideMark/>
          </w:tcPr>
          <w:p w14:paraId="518B49AC"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lastRenderedPageBreak/>
              <w:t> </w:t>
            </w:r>
          </w:p>
        </w:tc>
        <w:tc>
          <w:tcPr>
            <w:tcW w:w="0" w:type="auto"/>
            <w:tcBorders>
              <w:top w:val="nil"/>
              <w:left w:val="nil"/>
              <w:bottom w:val="single" w:sz="4" w:space="0" w:color="auto"/>
              <w:right w:val="nil"/>
            </w:tcBorders>
            <w:shd w:val="clear" w:color="000000" w:fill="FFFFFF"/>
            <w:noWrap/>
            <w:vAlign w:val="bottom"/>
            <w:hideMark/>
          </w:tcPr>
          <w:p w14:paraId="67963DD3"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single" w:sz="4" w:space="0" w:color="auto"/>
              <w:right w:val="nil"/>
            </w:tcBorders>
            <w:shd w:val="clear" w:color="000000" w:fill="FFFFFF"/>
            <w:noWrap/>
            <w:vAlign w:val="bottom"/>
            <w:hideMark/>
          </w:tcPr>
          <w:p w14:paraId="09CEA88A" w14:textId="77777777" w:rsidR="00723B45" w:rsidRPr="00433712" w:rsidRDefault="00723B45" w:rsidP="005B10D6">
            <w:pPr>
              <w:spacing w:after="0" w:line="240" w:lineRule="auto"/>
              <w:jc w:val="center"/>
              <w:rPr>
                <w:rFonts w:eastAsia="Times New Roman" w:cs="Calibri"/>
                <w:color w:val="000000"/>
                <w:lang w:val="sq-AL" w:eastAsia="en-GB"/>
              </w:rPr>
            </w:pPr>
          </w:p>
        </w:tc>
        <w:tc>
          <w:tcPr>
            <w:tcW w:w="1283" w:type="dxa"/>
            <w:tcBorders>
              <w:top w:val="nil"/>
              <w:left w:val="nil"/>
              <w:bottom w:val="single" w:sz="4" w:space="0" w:color="auto"/>
              <w:right w:val="nil"/>
            </w:tcBorders>
            <w:shd w:val="clear" w:color="000000" w:fill="FFFFFF"/>
            <w:noWrap/>
            <w:vAlign w:val="bottom"/>
            <w:hideMark/>
          </w:tcPr>
          <w:p w14:paraId="5824644A" w14:textId="77777777" w:rsidR="00723B45" w:rsidRPr="00433712" w:rsidRDefault="00723B45" w:rsidP="005B10D6">
            <w:pPr>
              <w:spacing w:after="0" w:line="240" w:lineRule="auto"/>
              <w:jc w:val="center"/>
              <w:rPr>
                <w:rFonts w:eastAsia="Times New Roman" w:cs="Calibri"/>
                <w:color w:val="000000"/>
                <w:lang w:val="sq-AL" w:eastAsia="en-GB"/>
              </w:rPr>
            </w:pPr>
          </w:p>
        </w:tc>
      </w:tr>
      <w:tr w:rsidR="00607FDE" w:rsidRPr="00433712" w14:paraId="4A2B05A9" w14:textId="77777777" w:rsidTr="004E1EFA">
        <w:trPr>
          <w:trHeight w:val="300"/>
          <w:jc w:val="right"/>
        </w:trPr>
        <w:tc>
          <w:tcPr>
            <w:tcW w:w="0" w:type="auto"/>
            <w:tcBorders>
              <w:top w:val="single" w:sz="4" w:space="0" w:color="auto"/>
              <w:left w:val="nil"/>
              <w:bottom w:val="nil"/>
              <w:right w:val="nil"/>
            </w:tcBorders>
            <w:shd w:val="clear" w:color="000000" w:fill="FFFFFF"/>
            <w:noWrap/>
            <w:vAlign w:val="bottom"/>
            <w:hideMark/>
          </w:tcPr>
          <w:p w14:paraId="2E40461F" w14:textId="62F2884D" w:rsidR="00607FDE" w:rsidRPr="00433712" w:rsidRDefault="004E1EFA" w:rsidP="00607FDE">
            <w:pPr>
              <w:spacing w:after="0" w:line="240" w:lineRule="auto"/>
              <w:rPr>
                <w:rFonts w:eastAsia="Times New Roman" w:cs="Calibri"/>
                <w:color w:val="000000"/>
                <w:lang w:val="sq-AL" w:eastAsia="en-GB"/>
              </w:rPr>
            </w:pPr>
            <w:r>
              <w:t>Tehnički i komercijalni gubici u ODS</w:t>
            </w:r>
          </w:p>
        </w:tc>
        <w:tc>
          <w:tcPr>
            <w:tcW w:w="0" w:type="auto"/>
            <w:tcBorders>
              <w:top w:val="single" w:sz="4" w:space="0" w:color="auto"/>
              <w:left w:val="nil"/>
              <w:bottom w:val="nil"/>
              <w:right w:val="nil"/>
            </w:tcBorders>
            <w:shd w:val="clear" w:color="000000" w:fill="FFFFFF"/>
            <w:noWrap/>
            <w:vAlign w:val="bottom"/>
            <w:hideMark/>
          </w:tcPr>
          <w:p w14:paraId="72CEED3F" w14:textId="77777777" w:rsidR="00607FDE"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single" w:sz="4" w:space="0" w:color="auto"/>
              <w:left w:val="nil"/>
              <w:bottom w:val="nil"/>
              <w:right w:val="nil"/>
            </w:tcBorders>
            <w:shd w:val="clear" w:color="000000" w:fill="FFFFFF"/>
            <w:noWrap/>
            <w:vAlign w:val="bottom"/>
            <w:hideMark/>
          </w:tcPr>
          <w:p w14:paraId="07708FDD" w14:textId="77777777" w:rsidR="00607FDE" w:rsidRPr="00433712" w:rsidRDefault="00A715BF"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075</w:t>
            </w:r>
          </w:p>
        </w:tc>
        <w:tc>
          <w:tcPr>
            <w:tcW w:w="1283" w:type="dxa"/>
            <w:tcBorders>
              <w:top w:val="single" w:sz="4" w:space="0" w:color="auto"/>
              <w:left w:val="nil"/>
              <w:bottom w:val="nil"/>
              <w:right w:val="nil"/>
            </w:tcBorders>
            <w:shd w:val="clear" w:color="000000" w:fill="FFFFFF"/>
            <w:noWrap/>
            <w:vAlign w:val="bottom"/>
            <w:hideMark/>
          </w:tcPr>
          <w:p w14:paraId="044BBC13" w14:textId="77777777" w:rsidR="00607FDE" w:rsidRPr="00433712" w:rsidRDefault="00FC7837" w:rsidP="00FB7B4C">
            <w:pPr>
              <w:spacing w:after="0" w:line="240" w:lineRule="auto"/>
              <w:jc w:val="center"/>
              <w:rPr>
                <w:rFonts w:eastAsia="Times New Roman" w:cs="Calibri"/>
                <w:color w:val="000000"/>
                <w:lang w:val="sq-AL" w:eastAsia="en-GB"/>
              </w:rPr>
            </w:pPr>
            <w:r>
              <w:rPr>
                <w:rFonts w:eastAsia="Times New Roman" w:cs="Calibri"/>
                <w:color w:val="000000"/>
                <w:lang w:val="sq-AL" w:eastAsia="en-GB"/>
              </w:rPr>
              <w:t>894</w:t>
            </w:r>
          </w:p>
        </w:tc>
        <w:tc>
          <w:tcPr>
            <w:tcW w:w="930" w:type="dxa"/>
            <w:vAlign w:val="bottom"/>
          </w:tcPr>
          <w:p w14:paraId="687ACD83"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0DBAFA89" w14:textId="77777777" w:rsidTr="004E1EFA">
        <w:trPr>
          <w:trHeight w:val="300"/>
          <w:jc w:val="right"/>
        </w:trPr>
        <w:tc>
          <w:tcPr>
            <w:tcW w:w="0" w:type="auto"/>
            <w:tcBorders>
              <w:top w:val="nil"/>
              <w:left w:val="nil"/>
              <w:bottom w:val="single" w:sz="4" w:space="0" w:color="auto"/>
              <w:right w:val="nil"/>
            </w:tcBorders>
            <w:shd w:val="clear" w:color="000000" w:fill="FFFFFF"/>
            <w:noWrap/>
            <w:vAlign w:val="bottom"/>
            <w:hideMark/>
          </w:tcPr>
          <w:p w14:paraId="6F8513E3" w14:textId="77777777" w:rsidR="00607FDE" w:rsidRPr="00433712" w:rsidRDefault="00607FDE" w:rsidP="005B10D6">
            <w:pPr>
              <w:spacing w:after="0" w:line="240" w:lineRule="auto"/>
              <w:rPr>
                <w:rFonts w:eastAsia="Times New Roman" w:cs="Calibri"/>
                <w:color w:val="000000"/>
                <w:lang w:val="sq-AL" w:eastAsia="en-GB"/>
              </w:rPr>
            </w:pPr>
          </w:p>
        </w:tc>
        <w:tc>
          <w:tcPr>
            <w:tcW w:w="0" w:type="auto"/>
            <w:tcBorders>
              <w:top w:val="nil"/>
              <w:left w:val="nil"/>
              <w:bottom w:val="single" w:sz="4" w:space="0" w:color="auto"/>
              <w:right w:val="nil"/>
            </w:tcBorders>
            <w:shd w:val="clear" w:color="000000" w:fill="FFFFFF"/>
            <w:noWrap/>
            <w:vAlign w:val="bottom"/>
            <w:hideMark/>
          </w:tcPr>
          <w:p w14:paraId="5F58D018"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single" w:sz="4" w:space="0" w:color="auto"/>
              <w:right w:val="nil"/>
            </w:tcBorders>
            <w:shd w:val="clear" w:color="000000" w:fill="FFFFFF"/>
            <w:noWrap/>
            <w:vAlign w:val="bottom"/>
            <w:hideMark/>
          </w:tcPr>
          <w:p w14:paraId="6D340075" w14:textId="77777777" w:rsidR="00607FDE"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19</w:t>
            </w:r>
            <w:r w:rsidR="00433712">
              <w:rPr>
                <w:rFonts w:eastAsia="Times New Roman" w:cs="Calibri"/>
                <w:color w:val="000000"/>
                <w:lang w:val="sq-AL" w:eastAsia="en-GB"/>
              </w:rPr>
              <w:t>.4</w:t>
            </w:r>
            <w:r w:rsidR="00607FDE" w:rsidRPr="00433712">
              <w:rPr>
                <w:rFonts w:eastAsia="Times New Roman" w:cs="Calibri"/>
                <w:color w:val="000000"/>
                <w:lang w:val="sq-AL" w:eastAsia="en-GB"/>
              </w:rPr>
              <w:t>%</w:t>
            </w:r>
          </w:p>
        </w:tc>
        <w:tc>
          <w:tcPr>
            <w:tcW w:w="1283" w:type="dxa"/>
            <w:tcBorders>
              <w:top w:val="nil"/>
              <w:left w:val="nil"/>
              <w:bottom w:val="single" w:sz="4" w:space="0" w:color="auto"/>
              <w:right w:val="nil"/>
            </w:tcBorders>
            <w:shd w:val="clear" w:color="000000" w:fill="FFFFFF"/>
            <w:noWrap/>
            <w:vAlign w:val="bottom"/>
            <w:hideMark/>
          </w:tcPr>
          <w:p w14:paraId="7F027D3D" w14:textId="77777777" w:rsidR="00607FDE" w:rsidRPr="00433712" w:rsidRDefault="00FC7837" w:rsidP="00FC7837">
            <w:pPr>
              <w:spacing w:after="0" w:line="240" w:lineRule="auto"/>
              <w:jc w:val="center"/>
              <w:rPr>
                <w:rFonts w:eastAsia="Times New Roman" w:cs="Calibri"/>
                <w:color w:val="000000"/>
                <w:lang w:val="sq-AL" w:eastAsia="en-GB"/>
              </w:rPr>
            </w:pPr>
            <w:r>
              <w:rPr>
                <w:rFonts w:eastAsia="Times New Roman" w:cs="Calibri"/>
                <w:color w:val="000000"/>
                <w:lang w:val="sq-AL" w:eastAsia="en-GB"/>
              </w:rPr>
              <w:t>1</w:t>
            </w:r>
            <w:r w:rsidR="00FB7B4C">
              <w:rPr>
                <w:rFonts w:eastAsia="Times New Roman" w:cs="Calibri"/>
                <w:color w:val="000000"/>
                <w:lang w:val="sq-AL" w:eastAsia="en-GB"/>
              </w:rPr>
              <w:t>6</w:t>
            </w:r>
            <w:r>
              <w:rPr>
                <w:rFonts w:eastAsia="Times New Roman" w:cs="Calibri"/>
                <w:color w:val="000000"/>
                <w:lang w:val="sq-AL" w:eastAsia="en-GB"/>
              </w:rPr>
              <w:t>.4</w:t>
            </w:r>
            <w:r w:rsidR="00607FDE" w:rsidRPr="00433712">
              <w:rPr>
                <w:rFonts w:eastAsia="Times New Roman" w:cs="Calibri"/>
                <w:color w:val="000000"/>
                <w:lang w:val="sq-AL" w:eastAsia="en-GB"/>
              </w:rPr>
              <w:t>%</w:t>
            </w:r>
          </w:p>
        </w:tc>
        <w:tc>
          <w:tcPr>
            <w:tcW w:w="930" w:type="dxa"/>
            <w:vAlign w:val="bottom"/>
          </w:tcPr>
          <w:p w14:paraId="1D8B8D5D"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4706A94F" w14:textId="77777777" w:rsidTr="00A715BF">
        <w:trPr>
          <w:gridAfter w:val="1"/>
          <w:wAfter w:w="930" w:type="dxa"/>
          <w:trHeight w:val="300"/>
          <w:jc w:val="right"/>
        </w:trPr>
        <w:tc>
          <w:tcPr>
            <w:tcW w:w="0" w:type="auto"/>
            <w:tcBorders>
              <w:top w:val="single" w:sz="4" w:space="0" w:color="auto"/>
              <w:left w:val="nil"/>
              <w:bottom w:val="single" w:sz="4" w:space="0" w:color="auto"/>
              <w:right w:val="nil"/>
            </w:tcBorders>
            <w:shd w:val="clear" w:color="000000" w:fill="FFFFFF"/>
            <w:noWrap/>
            <w:vAlign w:val="bottom"/>
            <w:hideMark/>
          </w:tcPr>
          <w:p w14:paraId="592A13C3"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3E45104F" w14:textId="77777777" w:rsidR="00607FDE" w:rsidRPr="00433712" w:rsidRDefault="00607FDE" w:rsidP="005B10D6">
            <w:pPr>
              <w:spacing w:after="0" w:line="240" w:lineRule="auto"/>
              <w:rPr>
                <w:rFonts w:eastAsia="Times New Roman" w:cs="Calibri"/>
                <w:color w:val="000000"/>
                <w:lang w:val="sq-AL" w:eastAsia="en-GB"/>
              </w:rPr>
            </w:pPr>
          </w:p>
        </w:tc>
        <w:tc>
          <w:tcPr>
            <w:tcW w:w="1380" w:type="dxa"/>
            <w:tcBorders>
              <w:top w:val="single" w:sz="4" w:space="0" w:color="auto"/>
              <w:left w:val="nil"/>
              <w:bottom w:val="single" w:sz="4" w:space="0" w:color="auto"/>
              <w:right w:val="nil"/>
            </w:tcBorders>
            <w:shd w:val="clear" w:color="000000" w:fill="FFFFFF"/>
            <w:noWrap/>
            <w:vAlign w:val="bottom"/>
            <w:hideMark/>
          </w:tcPr>
          <w:p w14:paraId="7A8F72D3"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single" w:sz="4" w:space="0" w:color="auto"/>
              <w:left w:val="nil"/>
              <w:bottom w:val="single" w:sz="4" w:space="0" w:color="auto"/>
              <w:right w:val="nil"/>
            </w:tcBorders>
            <w:shd w:val="clear" w:color="000000" w:fill="FFFFFF"/>
            <w:noWrap/>
            <w:vAlign w:val="bottom"/>
            <w:hideMark/>
          </w:tcPr>
          <w:p w14:paraId="6C34F778"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3632CC13" w14:textId="77777777" w:rsidTr="00A715BF">
        <w:trPr>
          <w:gridAfter w:val="1"/>
          <w:wAfter w:w="930" w:type="dxa"/>
          <w:trHeight w:val="300"/>
          <w:jc w:val="right"/>
        </w:trPr>
        <w:tc>
          <w:tcPr>
            <w:tcW w:w="0" w:type="auto"/>
            <w:tcBorders>
              <w:top w:val="single" w:sz="4" w:space="0" w:color="auto"/>
              <w:left w:val="nil"/>
              <w:bottom w:val="nil"/>
              <w:right w:val="nil"/>
            </w:tcBorders>
            <w:shd w:val="clear" w:color="000000" w:fill="FFFFFF"/>
            <w:noWrap/>
            <w:vAlign w:val="bottom"/>
            <w:hideMark/>
          </w:tcPr>
          <w:p w14:paraId="659A1922" w14:textId="30B7B7F4" w:rsidR="00607FDE" w:rsidRPr="00433712" w:rsidRDefault="004E1EFA" w:rsidP="005B10D6">
            <w:pPr>
              <w:spacing w:after="0" w:line="240" w:lineRule="auto"/>
              <w:rPr>
                <w:rFonts w:eastAsia="Times New Roman" w:cs="Calibri"/>
                <w:color w:val="000000"/>
                <w:lang w:val="sq-AL" w:eastAsia="en-GB"/>
              </w:rPr>
            </w:pPr>
            <w:r>
              <w:t>Ukupni gubici</w:t>
            </w:r>
          </w:p>
        </w:tc>
        <w:tc>
          <w:tcPr>
            <w:tcW w:w="0" w:type="auto"/>
            <w:tcBorders>
              <w:top w:val="single" w:sz="4" w:space="0" w:color="auto"/>
              <w:left w:val="nil"/>
              <w:bottom w:val="nil"/>
              <w:right w:val="nil"/>
            </w:tcBorders>
            <w:shd w:val="clear" w:color="000000" w:fill="FFFFFF"/>
            <w:noWrap/>
            <w:vAlign w:val="bottom"/>
            <w:hideMark/>
          </w:tcPr>
          <w:p w14:paraId="63C31A98" w14:textId="77777777" w:rsidR="00607FDE"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single" w:sz="4" w:space="0" w:color="auto"/>
              <w:left w:val="nil"/>
              <w:bottom w:val="nil"/>
              <w:right w:val="nil"/>
            </w:tcBorders>
            <w:shd w:val="clear" w:color="000000" w:fill="FFFFFF"/>
            <w:noWrap/>
            <w:vAlign w:val="bottom"/>
            <w:hideMark/>
          </w:tcPr>
          <w:p w14:paraId="4EE032FA" w14:textId="77777777" w:rsidR="00607FDE" w:rsidRPr="00433712" w:rsidRDefault="00A715BF"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409</w:t>
            </w:r>
          </w:p>
        </w:tc>
        <w:tc>
          <w:tcPr>
            <w:tcW w:w="1283" w:type="dxa"/>
            <w:tcBorders>
              <w:top w:val="single" w:sz="4" w:space="0" w:color="auto"/>
              <w:left w:val="nil"/>
              <w:bottom w:val="nil"/>
              <w:right w:val="nil"/>
            </w:tcBorders>
            <w:shd w:val="clear" w:color="000000" w:fill="FFFFFF"/>
            <w:noWrap/>
            <w:vAlign w:val="bottom"/>
            <w:hideMark/>
          </w:tcPr>
          <w:p w14:paraId="0A108108" w14:textId="77777777" w:rsidR="00607FDE" w:rsidRPr="00433712" w:rsidRDefault="00502489" w:rsidP="00FB7B4C">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221</w:t>
            </w:r>
          </w:p>
        </w:tc>
      </w:tr>
      <w:tr w:rsidR="00607FDE" w:rsidRPr="00433712" w14:paraId="4EC91FE1" w14:textId="77777777" w:rsidTr="00A715BF">
        <w:trPr>
          <w:gridAfter w:val="1"/>
          <w:wAfter w:w="930" w:type="dxa"/>
          <w:trHeight w:val="300"/>
          <w:jc w:val="right"/>
        </w:trPr>
        <w:tc>
          <w:tcPr>
            <w:tcW w:w="0" w:type="auto"/>
            <w:tcBorders>
              <w:top w:val="nil"/>
              <w:left w:val="nil"/>
              <w:bottom w:val="single" w:sz="4" w:space="0" w:color="auto"/>
              <w:right w:val="nil"/>
            </w:tcBorders>
            <w:shd w:val="clear" w:color="000000" w:fill="FFFFFF"/>
            <w:noWrap/>
            <w:vAlign w:val="bottom"/>
            <w:hideMark/>
          </w:tcPr>
          <w:p w14:paraId="55CBC945" w14:textId="77777777" w:rsidR="00607FDE" w:rsidRPr="00433712" w:rsidRDefault="00607FDE" w:rsidP="005B10D6">
            <w:pPr>
              <w:spacing w:after="0" w:line="240" w:lineRule="auto"/>
              <w:rPr>
                <w:rFonts w:eastAsia="Times New Roman" w:cs="Calibri"/>
                <w:color w:val="000000"/>
                <w:lang w:val="sq-AL" w:eastAsia="en-GB"/>
              </w:rPr>
            </w:pPr>
          </w:p>
        </w:tc>
        <w:tc>
          <w:tcPr>
            <w:tcW w:w="0" w:type="auto"/>
            <w:tcBorders>
              <w:top w:val="nil"/>
              <w:left w:val="nil"/>
              <w:bottom w:val="single" w:sz="4" w:space="0" w:color="auto"/>
              <w:right w:val="nil"/>
            </w:tcBorders>
            <w:shd w:val="clear" w:color="000000" w:fill="FFFFFF"/>
            <w:noWrap/>
            <w:vAlign w:val="bottom"/>
            <w:hideMark/>
          </w:tcPr>
          <w:p w14:paraId="05F54A24"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single" w:sz="4" w:space="0" w:color="auto"/>
              <w:right w:val="nil"/>
            </w:tcBorders>
            <w:shd w:val="clear" w:color="000000" w:fill="FFFFFF"/>
            <w:noWrap/>
            <w:vAlign w:val="bottom"/>
            <w:hideMark/>
          </w:tcPr>
          <w:p w14:paraId="2E29F409" w14:textId="77777777" w:rsidR="00607FDE" w:rsidRPr="00433712" w:rsidRDefault="0031382E" w:rsidP="00502489">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2</w:t>
            </w:r>
            <w:r w:rsidR="00433712">
              <w:rPr>
                <w:rFonts w:eastAsia="Times New Roman" w:cs="Calibri"/>
                <w:color w:val="000000"/>
                <w:lang w:val="sq-AL" w:eastAsia="en-GB"/>
              </w:rPr>
              <w:t>5</w:t>
            </w:r>
            <w:r w:rsidR="00607FDE" w:rsidRPr="00433712">
              <w:rPr>
                <w:rFonts w:eastAsia="Times New Roman" w:cs="Calibri"/>
                <w:color w:val="000000"/>
                <w:lang w:val="sq-AL" w:eastAsia="en-GB"/>
              </w:rPr>
              <w:t>.</w:t>
            </w:r>
            <w:r w:rsidR="00FC7837">
              <w:rPr>
                <w:rFonts w:eastAsia="Times New Roman" w:cs="Calibri"/>
                <w:color w:val="000000"/>
                <w:lang w:val="sq-AL" w:eastAsia="en-GB"/>
              </w:rPr>
              <w:t>4</w:t>
            </w:r>
            <w:r w:rsidR="00502489" w:rsidRPr="00433712">
              <w:rPr>
                <w:rFonts w:eastAsia="Times New Roman" w:cs="Calibri"/>
                <w:color w:val="000000"/>
                <w:lang w:val="sq-AL" w:eastAsia="en-GB"/>
              </w:rPr>
              <w:t>%</w:t>
            </w:r>
          </w:p>
        </w:tc>
        <w:tc>
          <w:tcPr>
            <w:tcW w:w="1283" w:type="dxa"/>
            <w:tcBorders>
              <w:top w:val="nil"/>
              <w:left w:val="nil"/>
              <w:bottom w:val="single" w:sz="4" w:space="0" w:color="auto"/>
              <w:right w:val="nil"/>
            </w:tcBorders>
            <w:shd w:val="clear" w:color="000000" w:fill="FFFFFF"/>
            <w:noWrap/>
            <w:vAlign w:val="bottom"/>
            <w:hideMark/>
          </w:tcPr>
          <w:p w14:paraId="1A83D683" w14:textId="77777777" w:rsidR="00607FDE"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22.4</w:t>
            </w:r>
            <w:r w:rsidR="00607FDE" w:rsidRPr="00433712">
              <w:rPr>
                <w:rFonts w:eastAsia="Times New Roman" w:cs="Calibri"/>
                <w:color w:val="000000"/>
                <w:lang w:val="sq-AL" w:eastAsia="en-GB"/>
              </w:rPr>
              <w:t>%</w:t>
            </w:r>
          </w:p>
        </w:tc>
      </w:tr>
      <w:tr w:rsidR="00607FDE" w:rsidRPr="00433712" w14:paraId="1A5FC8BF" w14:textId="77777777" w:rsidTr="00A715BF">
        <w:trPr>
          <w:gridAfter w:val="1"/>
          <w:wAfter w:w="930" w:type="dxa"/>
          <w:trHeight w:val="300"/>
          <w:jc w:val="right"/>
        </w:trPr>
        <w:tc>
          <w:tcPr>
            <w:tcW w:w="0" w:type="auto"/>
            <w:tcBorders>
              <w:top w:val="single" w:sz="4" w:space="0" w:color="auto"/>
              <w:left w:val="nil"/>
              <w:bottom w:val="nil"/>
              <w:right w:val="nil"/>
            </w:tcBorders>
            <w:shd w:val="clear" w:color="000000" w:fill="FFFFFF"/>
            <w:noWrap/>
            <w:vAlign w:val="bottom"/>
            <w:hideMark/>
          </w:tcPr>
          <w:p w14:paraId="14D8CEBC"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single" w:sz="4" w:space="0" w:color="auto"/>
              <w:left w:val="nil"/>
              <w:bottom w:val="nil"/>
              <w:right w:val="nil"/>
            </w:tcBorders>
            <w:shd w:val="clear" w:color="000000" w:fill="FFFFFF"/>
            <w:noWrap/>
            <w:vAlign w:val="bottom"/>
            <w:hideMark/>
          </w:tcPr>
          <w:p w14:paraId="5C7FCD86"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single" w:sz="4" w:space="0" w:color="auto"/>
              <w:left w:val="nil"/>
              <w:bottom w:val="nil"/>
              <w:right w:val="nil"/>
            </w:tcBorders>
            <w:shd w:val="clear" w:color="000000" w:fill="FFFFFF"/>
            <w:noWrap/>
            <w:vAlign w:val="bottom"/>
            <w:hideMark/>
          </w:tcPr>
          <w:p w14:paraId="2DFC759B"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single" w:sz="4" w:space="0" w:color="auto"/>
              <w:left w:val="nil"/>
              <w:bottom w:val="nil"/>
              <w:right w:val="nil"/>
            </w:tcBorders>
            <w:shd w:val="clear" w:color="000000" w:fill="FFFFFF"/>
            <w:noWrap/>
            <w:vAlign w:val="bottom"/>
            <w:hideMark/>
          </w:tcPr>
          <w:p w14:paraId="493892AD"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3299B3DC" w14:textId="77777777" w:rsidTr="00A715BF">
        <w:trPr>
          <w:gridAfter w:val="1"/>
          <w:wAfter w:w="930" w:type="dxa"/>
          <w:trHeight w:val="300"/>
          <w:jc w:val="right"/>
        </w:trPr>
        <w:tc>
          <w:tcPr>
            <w:tcW w:w="0" w:type="auto"/>
            <w:tcBorders>
              <w:top w:val="single" w:sz="4" w:space="0" w:color="auto"/>
              <w:left w:val="nil"/>
              <w:bottom w:val="single" w:sz="4" w:space="0" w:color="auto"/>
              <w:right w:val="nil"/>
            </w:tcBorders>
            <w:shd w:val="clear" w:color="000000" w:fill="FFFFFF"/>
            <w:noWrap/>
            <w:vAlign w:val="bottom"/>
            <w:hideMark/>
          </w:tcPr>
          <w:p w14:paraId="67A50F51" w14:textId="72E008D4" w:rsidR="00607FDE" w:rsidRPr="004E1EFA" w:rsidRDefault="004E1EFA" w:rsidP="005B10D6">
            <w:pPr>
              <w:spacing w:after="0" w:line="240" w:lineRule="auto"/>
              <w:rPr>
                <w:rFonts w:eastAsia="Times New Roman" w:cs="Calibri"/>
                <w:b/>
                <w:bCs/>
                <w:color w:val="000000"/>
                <w:lang w:val="sq-AL" w:eastAsia="en-GB"/>
              </w:rPr>
            </w:pPr>
            <w:r w:rsidRPr="004E1EFA">
              <w:rPr>
                <w:b/>
              </w:rPr>
              <w:t>Preostala energija za fakturisanje</w:t>
            </w:r>
          </w:p>
        </w:tc>
        <w:tc>
          <w:tcPr>
            <w:tcW w:w="0" w:type="auto"/>
            <w:tcBorders>
              <w:top w:val="single" w:sz="4" w:space="0" w:color="auto"/>
              <w:left w:val="nil"/>
              <w:bottom w:val="single" w:sz="4" w:space="0" w:color="auto"/>
              <w:right w:val="nil"/>
            </w:tcBorders>
            <w:shd w:val="clear" w:color="000000" w:fill="FFFFFF"/>
            <w:noWrap/>
            <w:vAlign w:val="bottom"/>
            <w:hideMark/>
          </w:tcPr>
          <w:p w14:paraId="42497EA7" w14:textId="77777777" w:rsidR="00607FDE" w:rsidRPr="00433712" w:rsidRDefault="001A59E2" w:rsidP="007345DF">
            <w:pPr>
              <w:spacing w:after="0" w:line="240" w:lineRule="auto"/>
              <w:rPr>
                <w:rFonts w:eastAsia="Times New Roman" w:cs="Calibri"/>
                <w:b/>
                <w:bCs/>
                <w:color w:val="000000"/>
                <w:lang w:val="sq-AL" w:eastAsia="en-GB"/>
              </w:rPr>
            </w:pPr>
            <w:r w:rsidRPr="00433712">
              <w:rPr>
                <w:rFonts w:eastAsia="Times New Roman" w:cs="Calibri"/>
                <w:b/>
                <w:bCs/>
                <w:color w:val="000000"/>
                <w:lang w:val="sq-AL" w:eastAsia="en-GB"/>
              </w:rPr>
              <w:t>G</w:t>
            </w:r>
            <w:r w:rsidR="007345DF" w:rsidRPr="00433712">
              <w:rPr>
                <w:rFonts w:eastAsia="Times New Roman" w:cs="Calibri"/>
                <w:b/>
                <w:bCs/>
                <w:color w:val="000000"/>
                <w:lang w:val="sq-AL" w:eastAsia="en-GB"/>
              </w:rPr>
              <w:t>W</w:t>
            </w:r>
            <w:r w:rsidRPr="00433712">
              <w:rPr>
                <w:rFonts w:eastAsia="Times New Roman" w:cs="Calibri"/>
                <w:b/>
                <w:bCs/>
                <w:color w:val="000000"/>
                <w:lang w:val="sq-AL" w:eastAsia="en-GB"/>
              </w:rPr>
              <w:t>h</w:t>
            </w:r>
          </w:p>
        </w:tc>
        <w:tc>
          <w:tcPr>
            <w:tcW w:w="1380" w:type="dxa"/>
            <w:tcBorders>
              <w:top w:val="single" w:sz="4" w:space="0" w:color="auto"/>
              <w:left w:val="nil"/>
              <w:bottom w:val="single" w:sz="4" w:space="0" w:color="auto"/>
              <w:right w:val="nil"/>
            </w:tcBorders>
            <w:shd w:val="clear" w:color="000000" w:fill="FFFFFF"/>
            <w:noWrap/>
            <w:vAlign w:val="bottom"/>
            <w:hideMark/>
          </w:tcPr>
          <w:p w14:paraId="188C998C" w14:textId="77777777" w:rsidR="00607FDE" w:rsidRPr="00433712" w:rsidRDefault="00FC7837" w:rsidP="0031382E">
            <w:pPr>
              <w:spacing w:after="0" w:line="240" w:lineRule="auto"/>
              <w:jc w:val="center"/>
              <w:rPr>
                <w:rFonts w:eastAsia="Times New Roman" w:cs="Calibri"/>
                <w:b/>
                <w:bCs/>
                <w:color w:val="000000"/>
                <w:lang w:val="sq-AL" w:eastAsia="en-GB"/>
              </w:rPr>
            </w:pPr>
            <w:r>
              <w:rPr>
                <w:rFonts w:eastAsia="Times New Roman" w:cs="Calibri"/>
                <w:b/>
                <w:bCs/>
                <w:color w:val="000000"/>
                <w:lang w:val="sq-AL" w:eastAsia="en-GB"/>
              </w:rPr>
              <w:t>4,140</w:t>
            </w:r>
          </w:p>
        </w:tc>
        <w:tc>
          <w:tcPr>
            <w:tcW w:w="1283" w:type="dxa"/>
            <w:tcBorders>
              <w:top w:val="single" w:sz="4" w:space="0" w:color="auto"/>
              <w:left w:val="nil"/>
              <w:bottom w:val="single" w:sz="4" w:space="0" w:color="auto"/>
              <w:right w:val="nil"/>
            </w:tcBorders>
            <w:shd w:val="clear" w:color="000000" w:fill="FFFFFF"/>
            <w:noWrap/>
            <w:vAlign w:val="bottom"/>
            <w:hideMark/>
          </w:tcPr>
          <w:p w14:paraId="64EB5145" w14:textId="77777777" w:rsidR="00607FDE" w:rsidRPr="00433712" w:rsidRDefault="00FC7837" w:rsidP="005B10D6">
            <w:pPr>
              <w:spacing w:after="0" w:line="240" w:lineRule="auto"/>
              <w:jc w:val="center"/>
              <w:rPr>
                <w:rFonts w:eastAsia="Times New Roman" w:cs="Calibri"/>
                <w:b/>
                <w:bCs/>
                <w:color w:val="000000"/>
                <w:lang w:val="sq-AL" w:eastAsia="en-GB"/>
              </w:rPr>
            </w:pPr>
            <w:r>
              <w:rPr>
                <w:rFonts w:eastAsia="Times New Roman" w:cs="Calibri"/>
                <w:b/>
                <w:bCs/>
                <w:color w:val="000000"/>
                <w:lang w:val="sq-AL" w:eastAsia="en-GB"/>
              </w:rPr>
              <w:t>4,23</w:t>
            </w:r>
            <w:r w:rsidR="00433712">
              <w:rPr>
                <w:rFonts w:eastAsia="Times New Roman" w:cs="Calibri"/>
                <w:b/>
                <w:bCs/>
                <w:color w:val="000000"/>
                <w:lang w:val="sq-AL" w:eastAsia="en-GB"/>
              </w:rPr>
              <w:t>1</w:t>
            </w:r>
          </w:p>
        </w:tc>
      </w:tr>
      <w:tr w:rsidR="00607FDE" w:rsidRPr="00433712" w14:paraId="1E441860" w14:textId="77777777" w:rsidTr="00A715BF">
        <w:trPr>
          <w:gridAfter w:val="1"/>
          <w:wAfter w:w="930" w:type="dxa"/>
          <w:trHeight w:val="300"/>
          <w:jc w:val="right"/>
        </w:trPr>
        <w:tc>
          <w:tcPr>
            <w:tcW w:w="0" w:type="auto"/>
            <w:tcBorders>
              <w:top w:val="nil"/>
              <w:left w:val="nil"/>
              <w:bottom w:val="nil"/>
              <w:right w:val="nil"/>
            </w:tcBorders>
            <w:shd w:val="clear" w:color="000000" w:fill="FFFFFF"/>
            <w:noWrap/>
            <w:vAlign w:val="bottom"/>
            <w:hideMark/>
          </w:tcPr>
          <w:p w14:paraId="4D95D90F"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nil"/>
              <w:right w:val="nil"/>
            </w:tcBorders>
            <w:shd w:val="clear" w:color="000000" w:fill="FFFFFF"/>
            <w:noWrap/>
            <w:vAlign w:val="bottom"/>
            <w:hideMark/>
          </w:tcPr>
          <w:p w14:paraId="08B50200"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nil"/>
              <w:right w:val="nil"/>
            </w:tcBorders>
            <w:shd w:val="clear" w:color="000000" w:fill="FFFFFF"/>
            <w:noWrap/>
            <w:vAlign w:val="bottom"/>
            <w:hideMark/>
          </w:tcPr>
          <w:p w14:paraId="231A5C8B"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nil"/>
              <w:left w:val="nil"/>
              <w:bottom w:val="nil"/>
              <w:right w:val="nil"/>
            </w:tcBorders>
            <w:shd w:val="clear" w:color="000000" w:fill="FFFFFF"/>
            <w:noWrap/>
            <w:vAlign w:val="bottom"/>
            <w:hideMark/>
          </w:tcPr>
          <w:p w14:paraId="455D1038" w14:textId="77777777" w:rsidR="00607FDE" w:rsidRPr="00433712" w:rsidRDefault="00607FDE" w:rsidP="005B10D6">
            <w:pPr>
              <w:spacing w:after="0" w:line="240" w:lineRule="auto"/>
              <w:jc w:val="center"/>
              <w:rPr>
                <w:rFonts w:eastAsia="Times New Roman" w:cs="Calibri"/>
                <w:color w:val="000000"/>
                <w:lang w:val="sq-AL" w:eastAsia="en-GB"/>
              </w:rPr>
            </w:pPr>
          </w:p>
        </w:tc>
      </w:tr>
    </w:tbl>
    <w:p w14:paraId="4222234D" w14:textId="46D8A330" w:rsidR="008A67AD" w:rsidRDefault="004E1EFA" w:rsidP="005D4B42">
      <w:pPr>
        <w:jc w:val="both"/>
        <w:rPr>
          <w:lang w:val="sq-AL"/>
        </w:rPr>
      </w:pPr>
      <w:r w:rsidRPr="004E1EFA">
        <w:rPr>
          <w:lang w:val="sq-AL"/>
        </w:rPr>
        <w:t>Iz analize primene KEDS -a, RUE je primetio da je kupovina energije za pokrivanje gubitaka 1.026 GVh, dok su gubici ostvareni na osnovu fizičkih tokova energije 1.075, što rezultira razlikom od oko 49 GVh. Ali iz an</w:t>
      </w:r>
      <w:r>
        <w:rPr>
          <w:lang w:val="sq-AL"/>
        </w:rPr>
        <w:t>alize mehanizma za balans</w:t>
      </w:r>
      <w:r w:rsidRPr="004E1EFA">
        <w:rPr>
          <w:lang w:val="sq-AL"/>
        </w:rPr>
        <w:t xml:space="preserve"> primećuje se da je neto KEDS fakturisan kao 54 GVh (kašnjenje od 11 GVh, dok je povlačenje 65 GVh) kao povlačenje energij</w:t>
      </w:r>
      <w:r>
        <w:rPr>
          <w:lang w:val="sq-AL"/>
        </w:rPr>
        <w:t>e</w:t>
      </w:r>
      <w:r w:rsidR="006B0BF3" w:rsidRPr="00431EAA">
        <w:rPr>
          <w:lang w:val="sq-AL"/>
        </w:rPr>
        <w:t>.</w:t>
      </w:r>
      <w:r w:rsidR="006B0BF3">
        <w:rPr>
          <w:lang w:val="sq-AL"/>
        </w:rPr>
        <w:t xml:space="preserve"> </w:t>
      </w:r>
    </w:p>
    <w:p w14:paraId="72954943" w14:textId="53E55189" w:rsidR="00120327" w:rsidRDefault="007219DA" w:rsidP="00216F71">
      <w:pPr>
        <w:jc w:val="both"/>
        <w:rPr>
          <w:lang w:val="sq-AL"/>
        </w:rPr>
      </w:pPr>
      <w:r w:rsidRPr="007219DA">
        <w:rPr>
          <w:lang w:val="sq-AL"/>
        </w:rPr>
        <w:t xml:space="preserve">Takva odstupanja pokrivaju interna mreža i sistem međusobnog povezivanja. Nakon sticanja nezavisnosti KOSTT -a, balansiranje sistema ne bi </w:t>
      </w:r>
      <w:r w:rsidR="002A70EE">
        <w:rPr>
          <w:lang w:val="sq-AL"/>
        </w:rPr>
        <w:t>trebalo da se nastavi putem SUU -a iz Programa K</w:t>
      </w:r>
      <w:r w:rsidRPr="007219DA">
        <w:rPr>
          <w:lang w:val="sq-AL"/>
        </w:rPr>
        <w:t>ompenzacije za bilo koju trgovinsku stranu, jer kupovine kroz Prog</w:t>
      </w:r>
      <w:r w:rsidR="002A70EE">
        <w:rPr>
          <w:lang w:val="sq-AL"/>
        </w:rPr>
        <w:t>ram K</w:t>
      </w:r>
      <w:r w:rsidRPr="007219DA">
        <w:rPr>
          <w:lang w:val="sq-AL"/>
        </w:rPr>
        <w:t>ompenzacije imaju veće troškove od kazni koje stranke plaća</w:t>
      </w:r>
      <w:r w:rsidR="002A70EE">
        <w:rPr>
          <w:lang w:val="sq-AL"/>
        </w:rPr>
        <w:t>ju putem mehanizma balansa</w:t>
      </w:r>
      <w:r w:rsidR="004B4461">
        <w:rPr>
          <w:lang w:val="sq-AL"/>
        </w:rPr>
        <w:t xml:space="preserve"> zbog odstupanja koja su izazvali</w:t>
      </w:r>
      <w:r w:rsidRPr="007219DA">
        <w:rPr>
          <w:lang w:val="sq-AL"/>
        </w:rPr>
        <w:t>. Stoga</w:t>
      </w:r>
      <w:r w:rsidR="004B4461">
        <w:rPr>
          <w:lang w:val="sq-AL"/>
        </w:rPr>
        <w:t>,</w:t>
      </w:r>
      <w:r w:rsidRPr="007219DA">
        <w:rPr>
          <w:lang w:val="sq-AL"/>
        </w:rPr>
        <w:t xml:space="preserve"> su za nastale troškove </w:t>
      </w:r>
      <w:r w:rsidR="004B4461">
        <w:rPr>
          <w:lang w:val="sq-AL"/>
        </w:rPr>
        <w:t>(</w:t>
      </w:r>
      <w:r w:rsidR="004B4461" w:rsidRPr="004B4461">
        <w:rPr>
          <w:lang w:val="sq-AL"/>
        </w:rPr>
        <w:t>od odstupanja međupovezivanja</w:t>
      </w:r>
      <w:r w:rsidRPr="007219DA">
        <w:rPr>
          <w:lang w:val="sq-AL"/>
        </w:rPr>
        <w:t>) trgovinske strane platile manju vrednost kao kaznu mehani</w:t>
      </w:r>
      <w:r w:rsidR="004B4461">
        <w:rPr>
          <w:lang w:val="sq-AL"/>
        </w:rPr>
        <w:t>zmom balansa</w:t>
      </w:r>
      <w:r w:rsidRPr="007219DA">
        <w:rPr>
          <w:lang w:val="sq-AL"/>
        </w:rPr>
        <w:t>. Takva odstupanja za ODS mogu biti uzrokovana nepreciznostima u prognozi gubitaka od strane samog ODS -a, kao i promenama u potrošnji energije koje imenuju dobavljači</w:t>
      </w:r>
      <w:r w:rsidR="00D86CC1">
        <w:rPr>
          <w:lang w:val="sq-AL"/>
        </w:rPr>
        <w:t>. Za takva odstupanja ODS i SUU</w:t>
      </w:r>
      <w:r w:rsidRPr="007219DA">
        <w:rPr>
          <w:lang w:val="sq-AL"/>
        </w:rPr>
        <w:t xml:space="preserve"> se naplaćuju na osnovu alokacije, a ne na osnovu stvarnih uzrokovanih odstupanja. Ovaj princip se primenjuje od početka primene balansnog mehanizma. Kao rezultat ovog pristupa, identifikovane su greške u stvarnom proračunu neravnoteža</w:t>
      </w:r>
      <w:r w:rsidR="00D86CC1">
        <w:rPr>
          <w:lang w:val="sq-AL"/>
        </w:rPr>
        <w:t xml:space="preserve"> za odgovorne strane (ODS i SUU</w:t>
      </w:r>
      <w:r w:rsidRPr="007219DA">
        <w:rPr>
          <w:lang w:val="sq-AL"/>
        </w:rPr>
        <w:t>), pa se kao rezultat nisu odrazili stvarni troškovi za strane koje su ih izazvale. Stoga, procenjujemo da bi trebalo ponovo proceniti ods</w:t>
      </w:r>
      <w:r w:rsidR="00D86CC1">
        <w:rPr>
          <w:lang w:val="sq-AL"/>
        </w:rPr>
        <w:t>tupanja za stranke ODS -a i SUU</w:t>
      </w:r>
      <w:r w:rsidRPr="007219DA">
        <w:rPr>
          <w:lang w:val="sq-AL"/>
        </w:rPr>
        <w:t xml:space="preserve"> -a od vremena početka primene balansnog mehanizma kako bi se identifikovale stvarne neravnoteže u MVh i povezani troškovi. Nakon ove ponovne procene, trebalo bi razmotriti reviziju </w:t>
      </w:r>
      <w:r w:rsidR="00D86CC1">
        <w:rPr>
          <w:lang w:val="sq-AL"/>
        </w:rPr>
        <w:t>troškova i prihoda ODS -a i SUU</w:t>
      </w:r>
      <w:r w:rsidRPr="007219DA">
        <w:rPr>
          <w:lang w:val="sq-AL"/>
        </w:rPr>
        <w:t xml:space="preserve"> -a za takva odstupanja.</w:t>
      </w:r>
    </w:p>
    <w:p w14:paraId="07E9BD0A" w14:textId="17DE1BF6" w:rsidR="00515C2F" w:rsidRPr="00505100" w:rsidRDefault="007E3943" w:rsidP="00515C2F">
      <w:pPr>
        <w:jc w:val="both"/>
        <w:rPr>
          <w:lang w:val="sq-AL"/>
        </w:rPr>
      </w:pPr>
      <w:r w:rsidRPr="007E3943">
        <w:rPr>
          <w:lang w:val="sq-AL"/>
        </w:rPr>
        <w:t>KEDS i KESCO su 7. jula 2021. godine obavestili RUE u vezi sa tehničkim greškama u prodaji električne energije i gubicima energije za 2020. prijavljenim RUE, zbog čega dolazi do promena od oko 18 GVh kao povećanje gubitaka ODS -a, odnosno smanjenje naplate za isti iznos . Pošto takva razlika takođe podrazumeva balans mehanizma ravnoteže za trgovinske strane, RUE u ovom izveštaju o konsultacijama neće uzeti u obzir takvu ispravku i očekuje da KEDS obavesti i konsultuje druge trgovinske strane o takvim ispravkama i više. Zatim identifikuje implikacije ove ispravke za svaku trgovačko društvo.</w:t>
      </w:r>
      <w:r w:rsidR="00515C2F" w:rsidRPr="00505100">
        <w:rPr>
          <w:lang w:val="sq-AL"/>
        </w:rPr>
        <w:t xml:space="preserve"> </w:t>
      </w:r>
    </w:p>
    <w:p w14:paraId="6D35A3E7" w14:textId="34AE68E6" w:rsidR="005F2781" w:rsidRPr="0050005A" w:rsidRDefault="00EE6889" w:rsidP="00FF0B59">
      <w:pPr>
        <w:jc w:val="both"/>
        <w:rPr>
          <w:lang w:val="sq-AL"/>
        </w:rPr>
      </w:pPr>
      <w:r w:rsidRPr="00EE6889">
        <w:rPr>
          <w:lang w:val="sq-AL"/>
        </w:rPr>
        <w:t>Planiranje energetskih tokova za 2021. godinu vrši se primjenom pristupa iz potrošnje i primjenom dozvoljenog nivoa gubitaka u ODS -u od 16,4%.</w:t>
      </w:r>
    </w:p>
    <w:p w14:paraId="3DDDD618" w14:textId="6A9DC718" w:rsidR="007345DF" w:rsidRDefault="00275410" w:rsidP="00FF0B59">
      <w:pPr>
        <w:jc w:val="both"/>
        <w:rPr>
          <w:lang w:val="sq-AL"/>
        </w:rPr>
      </w:pPr>
      <w:r>
        <w:t>KEDS je u svojoj prijavi zatražio da se uzme u obzir samo 20% troškova koji nastanu zbog naplate energije za povrat gubitaka, zbog nemogućnosti njihovog prikupljanja, kao rezultat kašnjenja u sudskom postupku. Povrat na gubitke prema izveštajima KEDS-a i ve</w:t>
      </w:r>
      <w:r>
        <w:t>rifikacija RUE-a rezultira sa 47</w:t>
      </w:r>
      <w:r>
        <w:t xml:space="preserve"> GVh električne energije, ova vrednost se koristi pri izračunavanju prihoda ostvarenih od prodaje. </w:t>
      </w:r>
    </w:p>
    <w:p w14:paraId="026B3642" w14:textId="743C3E20" w:rsidR="00D8369A" w:rsidRPr="0050005A" w:rsidRDefault="00275410" w:rsidP="00FF0B59">
      <w:pPr>
        <w:jc w:val="both"/>
        <w:rPr>
          <w:lang w:val="sq-AL"/>
        </w:rPr>
      </w:pPr>
      <w:r>
        <w:lastRenderedPageBreak/>
        <w:t>RUE smatra da bi se troškovi koji proističu iz fakturisanja ove energije trebalo tretirati kao ukupan prihod, jer se to tretira sa principom prirastanja, gde se prihodi priznaju u vreme naplate, a ne kada se prikupe. Štaviše, treba napomenuti da je o</w:t>
      </w:r>
      <w:r w:rsidR="00167C7B">
        <w:t>va energetska vrednost od 47</w:t>
      </w:r>
      <w:r>
        <w:t xml:space="preserve"> GVh uključena u energiju koja se unosi u distributivnu mrežu iz koje se izračunava osnovica za troškove energetskih gubitaka, stoga je priznavanje kao trošak ove energije podrazumeva priznavanje prihoda rezultati ove energije</w:t>
      </w:r>
      <w:r w:rsidR="00167C7B">
        <w:rPr>
          <w:lang w:val="sq-AL"/>
        </w:rPr>
        <w:t>.</w:t>
      </w:r>
    </w:p>
    <w:p w14:paraId="660D25CA" w14:textId="4F77D14D" w:rsidR="00E332F6" w:rsidRPr="00E22B03" w:rsidRDefault="00167C7B" w:rsidP="00FF0B59">
      <w:pPr>
        <w:jc w:val="both"/>
        <w:rPr>
          <w:lang w:val="sq-AL"/>
        </w:rPr>
      </w:pPr>
      <w:r>
        <w:t xml:space="preserve">Iz gornje tabele se uočava da su gubici na severu predstavljeni kao fizički tokovi i koriste se za svrhu balansiranja elektroenergetskog bilansa. Međutim, troškovi koji proizilaze iz snabdevanja četiri severne opštine Kosova </w:t>
      </w:r>
      <w:r w:rsidRPr="00167C7B">
        <w:t>prikazani su kao fizički tokovi i koriste se za balansiranje električne energije Međutim, troškovi koji proizlaze</w:t>
      </w:r>
      <w:r>
        <w:t xml:space="preserve"> iz snabdevanja četiri severne K</w:t>
      </w:r>
      <w:r w:rsidRPr="00167C7B">
        <w:t>osovske opštine nisu uključeni u obračun troškova snabdevanja energijom u skladu sa odlukom o privreme</w:t>
      </w:r>
      <w:r>
        <w:t>noj meri koju je doneo Osnovni Sud i potvrdio Apelacioni S</w:t>
      </w:r>
      <w:r w:rsidRPr="00167C7B">
        <w:t>ud.</w:t>
      </w:r>
    </w:p>
    <w:p w14:paraId="216FAFD9" w14:textId="0FF53FE8" w:rsidR="00D850AB" w:rsidRPr="0050005A" w:rsidRDefault="00D6614E" w:rsidP="00D850AB">
      <w:pPr>
        <w:pStyle w:val="Heading1"/>
        <w:rPr>
          <w:lang w:val="sq-AL"/>
        </w:rPr>
      </w:pPr>
      <w:r>
        <w:t>Redovna prilagođavanja</w:t>
      </w:r>
    </w:p>
    <w:p w14:paraId="54B9CCCE" w14:textId="451635B3" w:rsidR="00D850AB" w:rsidRPr="0050005A" w:rsidRDefault="00D6614E" w:rsidP="00D850AB">
      <w:pPr>
        <w:jc w:val="both"/>
        <w:rPr>
          <w:lang w:val="sq-AL"/>
        </w:rPr>
      </w:pPr>
      <w:r>
        <w:t>U ovom odeljku su prikazani proračuni u vezi sa redovnim go</w:t>
      </w:r>
      <w:r>
        <w:t>dišnjim prilagođavanjima iz 2020</w:t>
      </w:r>
      <w:r>
        <w:t>. godine. Izračun ovih usklađivanja će biti uključen prilikom određivanja maksimalno dozvoljenih pr</w:t>
      </w:r>
      <w:r>
        <w:t>ihoda za relevantnu tarifnu 2021</w:t>
      </w:r>
      <w:r>
        <w:t>. godinu.</w:t>
      </w:r>
    </w:p>
    <w:p w14:paraId="76F2E4C8" w14:textId="1875026F" w:rsidR="00D850AB" w:rsidRPr="0050005A" w:rsidRDefault="00D6614E" w:rsidP="00D850AB">
      <w:pPr>
        <w:pStyle w:val="Heading2"/>
        <w:tabs>
          <w:tab w:val="clear" w:pos="720"/>
          <w:tab w:val="num" w:pos="810"/>
        </w:tabs>
        <w:ind w:left="810"/>
        <w:jc w:val="left"/>
        <w:rPr>
          <w:lang w:val="sq-AL"/>
        </w:rPr>
      </w:pPr>
      <w:bookmarkStart w:id="3" w:name="_Toc511307496"/>
      <w:bookmarkStart w:id="4" w:name="_Toc80691544"/>
      <w:r>
        <w:t xml:space="preserve">Prilagođavanje za stopu inflacije </w:t>
      </w:r>
      <w:bookmarkEnd w:id="3"/>
      <w:bookmarkEnd w:id="4"/>
    </w:p>
    <w:p w14:paraId="5F3FC6B6" w14:textId="4D4E38C4" w:rsidR="00B61485" w:rsidRPr="008449B4" w:rsidRDefault="00D6614E" w:rsidP="00B61485">
      <w:pPr>
        <w:spacing w:before="120"/>
        <w:jc w:val="both"/>
        <w:rPr>
          <w:lang w:val="sq-AL"/>
        </w:rPr>
      </w:pPr>
      <w:r>
        <w:t xml:space="preserve">Da bi se izvršila kalkulacija prilagođavanja vezanih za stopu inflacije, uzima se na stopu inflacije koju objavljuje Eurostat za </w:t>
      </w:r>
      <w:r>
        <w:t>zemlje evrozone, koja je za 2020. godinu iznosila 0.26</w:t>
      </w:r>
      <w:r>
        <w:t>%</w:t>
      </w:r>
      <w:r w:rsidRPr="008D0695">
        <w:rPr>
          <w:rStyle w:val="FootnoteReference"/>
          <w:lang w:val="sq-AL"/>
        </w:rPr>
        <w:footnoteReference w:id="1"/>
      </w:r>
      <w:r w:rsidRPr="008D0695">
        <w:rPr>
          <w:lang w:val="sq-AL"/>
        </w:rPr>
        <w:t>.</w:t>
      </w:r>
      <w:r>
        <w:t xml:space="preserve"> </w:t>
      </w:r>
      <w:r>
        <w:t xml:space="preserve">Način izračunavanja takvih prilagođavanja određena je u pravilu prihoda ODS-a. </w:t>
      </w:r>
    </w:p>
    <w:p w14:paraId="2CB73046" w14:textId="46721266" w:rsidR="00D850AB" w:rsidRPr="0050005A" w:rsidRDefault="00127546" w:rsidP="00D850AB">
      <w:pPr>
        <w:jc w:val="both"/>
        <w:rPr>
          <w:lang w:val="sq-AL"/>
        </w:rPr>
      </w:pPr>
      <w:r>
        <w:t>Ova stopa se primjenjuje na prilagođavanje operativnih troškova, troškova amortizacije i povrata na kapital. Nakon</w:t>
      </w:r>
      <w:r>
        <w:t xml:space="preserve"> primene stope inflacije od 0.26</w:t>
      </w:r>
      <w:r>
        <w:t>% na komponente pomenutih troškova, dobijena je vredno</w:t>
      </w:r>
      <w:r>
        <w:t>st prilagođenih troškova od 0,15 miliona E</w:t>
      </w:r>
      <w:r>
        <w:t>vra. Prilagođavanja koja imaju rezultat primene stope inflacije za svaku od kompon</w:t>
      </w:r>
      <w:r>
        <w:t>enti dozvoljenih troškova u 2020</w:t>
      </w:r>
      <w:r>
        <w:t>. godini zatim su dodane početnoj proc</w:t>
      </w:r>
      <w:r>
        <w:t>eni procenjenih troškova za 2021</w:t>
      </w:r>
      <w:r>
        <w:t xml:space="preserve">. godinu. Detalji ovih izračunavanja su prikazani u sledećoj tabeli: </w:t>
      </w:r>
    </w:p>
    <w:p w14:paraId="0AC3C673" w14:textId="6366374C" w:rsidR="00D850AB" w:rsidRPr="0050005A" w:rsidRDefault="00D850AB" w:rsidP="00026AD9">
      <w:pPr>
        <w:pStyle w:val="Caption"/>
        <w:spacing w:after="0"/>
        <w:ind w:left="720" w:firstLine="720"/>
        <w:rPr>
          <w:lang w:val="sq-AL"/>
        </w:rPr>
      </w:pPr>
      <w:r w:rsidRPr="0050005A">
        <w:rPr>
          <w:lang w:val="sq-AL"/>
        </w:rPr>
        <w:t xml:space="preserve">Tabela  </w:t>
      </w:r>
      <w:r w:rsidR="001D66A0">
        <w:rPr>
          <w:lang w:val="sq-AL"/>
        </w:rPr>
        <w:t>2</w:t>
      </w:r>
      <w:r w:rsidR="008B6E10">
        <w:rPr>
          <w:lang w:val="sq-AL"/>
        </w:rPr>
        <w:t xml:space="preserve">: </w:t>
      </w:r>
      <w:r w:rsidR="008B6E10">
        <w:t>Prilagođavanja za inflaciju</w:t>
      </w:r>
    </w:p>
    <w:tbl>
      <w:tblPr>
        <w:tblStyle w:val="TableGrid"/>
        <w:tblW w:w="0" w:type="auto"/>
        <w:jc w:val="center"/>
        <w:tblLook w:val="04A0" w:firstRow="1" w:lastRow="0" w:firstColumn="1" w:lastColumn="0" w:noHBand="0" w:noVBand="1"/>
      </w:tblPr>
      <w:tblGrid>
        <w:gridCol w:w="2094"/>
        <w:gridCol w:w="927"/>
        <w:gridCol w:w="1231"/>
        <w:gridCol w:w="1516"/>
        <w:gridCol w:w="1568"/>
        <w:gridCol w:w="1204"/>
      </w:tblGrid>
      <w:tr w:rsidR="00B321E1" w:rsidRPr="008D0695" w14:paraId="74D5BF70" w14:textId="77777777" w:rsidTr="00F940AC">
        <w:trPr>
          <w:jc w:val="center"/>
        </w:trPr>
        <w:tc>
          <w:tcPr>
            <w:tcW w:w="2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3A0D52A" w14:textId="63645226" w:rsidR="00966ECD" w:rsidRPr="008D0695" w:rsidRDefault="00966ECD" w:rsidP="00966ECD">
            <w:pPr>
              <w:spacing w:after="0" w:line="240" w:lineRule="auto"/>
              <w:rPr>
                <w:color w:val="FFFFFF" w:themeColor="background1"/>
                <w:lang w:val="sq-AL"/>
              </w:rPr>
            </w:pPr>
            <w:r w:rsidRPr="008D0695">
              <w:rPr>
                <w:color w:val="FFFFFF" w:themeColor="background1"/>
                <w:lang w:val="sq-AL"/>
              </w:rPr>
              <w:t>Lin</w:t>
            </w:r>
            <w:r w:rsidR="008B6E10">
              <w:rPr>
                <w:color w:val="FFFFFF" w:themeColor="background1"/>
                <w:lang w:val="sq-AL"/>
              </w:rPr>
              <w:t>i</w:t>
            </w:r>
            <w:r w:rsidRPr="008D0695">
              <w:rPr>
                <w:color w:val="FFFFFF" w:themeColor="background1"/>
                <w:lang w:val="sq-AL"/>
              </w:rPr>
              <w:t>ja</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C1E6641" w14:textId="6944A365" w:rsidR="00966ECD" w:rsidRPr="008D0695" w:rsidRDefault="008B6E10" w:rsidP="00966ECD">
            <w:pPr>
              <w:spacing w:after="0" w:line="240" w:lineRule="auto"/>
              <w:jc w:val="center"/>
              <w:rPr>
                <w:color w:val="FFFFFF" w:themeColor="background1"/>
                <w:lang w:val="sq-AL"/>
              </w:rPr>
            </w:pPr>
            <w:r>
              <w:rPr>
                <w:color w:val="FFFFFF" w:themeColor="background1"/>
                <w:lang w:val="sq-AL"/>
              </w:rPr>
              <w:t>Jedinica</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554595B7"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a)</w:t>
            </w:r>
          </w:p>
          <w:p w14:paraId="698D7FF8" w14:textId="1E82638C" w:rsidR="00966ECD" w:rsidRPr="008D0695" w:rsidRDefault="00276606" w:rsidP="00B321E1">
            <w:pPr>
              <w:pStyle w:val="ListParagraph"/>
              <w:spacing w:after="0" w:line="240" w:lineRule="auto"/>
              <w:ind w:left="27"/>
              <w:jc w:val="center"/>
              <w:rPr>
                <w:rFonts w:cs="Calibri"/>
                <w:color w:val="FFFFFF" w:themeColor="background1"/>
                <w:lang w:val="sq-AL"/>
              </w:rPr>
            </w:pPr>
            <w:r>
              <w:rPr>
                <w:rFonts w:cs="Calibri"/>
                <w:color w:val="FFFFFF" w:themeColor="background1"/>
                <w:lang w:val="sq-AL"/>
              </w:rPr>
              <w:t>Dozvoljena</w:t>
            </w:r>
          </w:p>
          <w:p w14:paraId="74733BE9" w14:textId="76EEB467" w:rsidR="00966ECD" w:rsidRPr="008D0695" w:rsidRDefault="000349B2" w:rsidP="00B321E1">
            <w:pPr>
              <w:spacing w:after="0" w:line="240" w:lineRule="auto"/>
              <w:ind w:left="27"/>
              <w:jc w:val="center"/>
              <w:rPr>
                <w:color w:val="FFFFFF" w:themeColor="background1"/>
                <w:lang w:val="sq-AL"/>
              </w:rPr>
            </w:pPr>
            <w:r w:rsidRPr="008D0695">
              <w:rPr>
                <w:color w:val="FFFFFF" w:themeColor="background1"/>
                <w:lang w:val="sq-AL"/>
              </w:rPr>
              <w:t>20</w:t>
            </w:r>
            <w:r w:rsidR="008D0695">
              <w:rPr>
                <w:color w:val="FFFFFF" w:themeColor="background1"/>
                <w:lang w:val="sq-AL"/>
              </w:rPr>
              <w:t>20</w:t>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03CE4C4A"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b)</w:t>
            </w:r>
          </w:p>
          <w:p w14:paraId="1C516310" w14:textId="437020FA" w:rsidR="00966ECD" w:rsidRPr="008D0695" w:rsidRDefault="00276606" w:rsidP="00B321E1">
            <w:pPr>
              <w:spacing w:after="0" w:line="240" w:lineRule="auto"/>
              <w:jc w:val="center"/>
              <w:rPr>
                <w:color w:val="FFFFFF" w:themeColor="background1"/>
                <w:lang w:val="sq-AL"/>
              </w:rPr>
            </w:pPr>
            <w:r>
              <w:t>Prilagođena</w:t>
            </w:r>
            <w:r>
              <w:t xml:space="preserve"> za</w:t>
            </w:r>
            <w:r w:rsidR="00966ECD" w:rsidRPr="008D0695">
              <w:rPr>
                <w:color w:val="FFFFFF" w:themeColor="background1"/>
                <w:lang w:val="sq-AL"/>
              </w:rPr>
              <w:t xml:space="preserve"> </w:t>
            </w:r>
            <w:r>
              <w:rPr>
                <w:color w:val="FFFFFF" w:themeColor="background1"/>
                <w:lang w:val="sq-AL"/>
              </w:rPr>
              <w:t>Inflaciju</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79522EC8"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c)</w:t>
            </w:r>
          </w:p>
          <w:p w14:paraId="60D9A3EB" w14:textId="71CF55F6" w:rsidR="00966ECD" w:rsidRPr="008D0695" w:rsidRDefault="00276606" w:rsidP="00B321E1">
            <w:pPr>
              <w:spacing w:after="0" w:line="240" w:lineRule="auto"/>
              <w:jc w:val="center"/>
              <w:rPr>
                <w:color w:val="FFFFFF" w:themeColor="background1"/>
                <w:lang w:val="sq-AL"/>
              </w:rPr>
            </w:pPr>
            <w:r>
              <w:t>Početna vrednost</w:t>
            </w:r>
            <w:r w:rsidR="00966ECD" w:rsidRPr="008D0695">
              <w:rPr>
                <w:color w:val="FFFFFF" w:themeColor="background1"/>
                <w:lang w:val="sq-AL"/>
              </w:rPr>
              <w:t xml:space="preserve"> 20</w:t>
            </w:r>
            <w:r w:rsidR="000349B2" w:rsidRPr="008D0695">
              <w:rPr>
                <w:color w:val="FFFFFF" w:themeColor="background1"/>
                <w:lang w:val="sq-AL"/>
              </w:rPr>
              <w:t>2</w:t>
            </w:r>
            <w:r w:rsidR="008D0695">
              <w:rPr>
                <w:color w:val="FFFFFF" w:themeColor="background1"/>
                <w:lang w:val="sq-AL"/>
              </w:rPr>
              <w:t>1</w:t>
            </w:r>
            <w:r w:rsidR="00966ECD" w:rsidRPr="008D0695">
              <w:rPr>
                <w:rStyle w:val="FootnoteReference"/>
                <w:color w:val="FFFFFF" w:themeColor="background1"/>
                <w:lang w:val="sq-AL"/>
              </w:rPr>
              <w:footnoteReference w:id="2"/>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872528E" w14:textId="45C45D6A" w:rsidR="00966ECD" w:rsidRPr="008D0695" w:rsidRDefault="00B321E1" w:rsidP="00B321E1">
            <w:pPr>
              <w:spacing w:after="0" w:line="240" w:lineRule="auto"/>
              <w:jc w:val="center"/>
              <w:rPr>
                <w:color w:val="FFFFFF" w:themeColor="background1"/>
                <w:lang w:val="sq-AL"/>
              </w:rPr>
            </w:pPr>
            <w:r w:rsidRPr="008D0695">
              <w:rPr>
                <w:color w:val="FFFFFF" w:themeColor="background1"/>
                <w:lang w:val="sq-AL"/>
              </w:rPr>
              <w:t xml:space="preserve">d=b+c </w:t>
            </w:r>
            <w:r w:rsidR="00276606">
              <w:t>Dozvoljena</w:t>
            </w:r>
            <w:r w:rsidR="00966ECD" w:rsidRPr="008D0695">
              <w:rPr>
                <w:color w:val="FFFFFF" w:themeColor="background1"/>
                <w:lang w:val="sq-AL"/>
              </w:rPr>
              <w:t xml:space="preserve"> 20</w:t>
            </w:r>
            <w:r w:rsidR="000349B2" w:rsidRPr="008D0695">
              <w:rPr>
                <w:color w:val="FFFFFF" w:themeColor="background1"/>
                <w:lang w:val="sq-AL"/>
              </w:rPr>
              <w:t>2</w:t>
            </w:r>
            <w:r w:rsidR="008D0695">
              <w:rPr>
                <w:color w:val="FFFFFF" w:themeColor="background1"/>
                <w:lang w:val="sq-AL"/>
              </w:rPr>
              <w:t>1</w:t>
            </w:r>
          </w:p>
        </w:tc>
      </w:tr>
      <w:tr w:rsidR="00B321E1" w:rsidRPr="008D0695" w14:paraId="50B081CC" w14:textId="77777777" w:rsidTr="00F940AC">
        <w:trPr>
          <w:jc w:val="center"/>
        </w:trPr>
        <w:tc>
          <w:tcPr>
            <w:tcW w:w="2094" w:type="dxa"/>
            <w:tcBorders>
              <w:top w:val="single" w:sz="4" w:space="0" w:color="FFFFFF" w:themeColor="background1"/>
            </w:tcBorders>
          </w:tcPr>
          <w:p w14:paraId="471E322F" w14:textId="77777777" w:rsidR="00966ECD" w:rsidRPr="008D0695" w:rsidRDefault="00966ECD" w:rsidP="00966ECD">
            <w:pPr>
              <w:spacing w:after="0" w:line="240" w:lineRule="auto"/>
              <w:rPr>
                <w:color w:val="000000"/>
                <w:lang w:val="sq-AL"/>
              </w:rPr>
            </w:pPr>
            <w:r w:rsidRPr="008D0695">
              <w:rPr>
                <w:color w:val="000000"/>
                <w:lang w:val="sq-AL"/>
              </w:rPr>
              <w:t>OPEX-i</w:t>
            </w:r>
          </w:p>
        </w:tc>
        <w:tc>
          <w:tcPr>
            <w:tcW w:w="876" w:type="dxa"/>
            <w:tcBorders>
              <w:top w:val="single" w:sz="4" w:space="0" w:color="FFFFFF" w:themeColor="background1"/>
            </w:tcBorders>
          </w:tcPr>
          <w:p w14:paraId="6C7810B6"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Borders>
              <w:top w:val="single" w:sz="4" w:space="0" w:color="FFFFFF" w:themeColor="background1"/>
            </w:tcBorders>
          </w:tcPr>
          <w:p w14:paraId="5525F593" w14:textId="4466DA47" w:rsidR="00966ECD" w:rsidRPr="008D0695" w:rsidRDefault="008D0695" w:rsidP="00966ECD">
            <w:pPr>
              <w:spacing w:after="0" w:line="240" w:lineRule="auto"/>
              <w:jc w:val="right"/>
              <w:rPr>
                <w:color w:val="000000"/>
                <w:lang w:val="sq-AL"/>
              </w:rPr>
            </w:pPr>
            <w:r>
              <w:rPr>
                <w:color w:val="000000"/>
                <w:lang w:val="sq-AL"/>
              </w:rPr>
              <w:t>25.84</w:t>
            </w:r>
          </w:p>
        </w:tc>
        <w:tc>
          <w:tcPr>
            <w:tcW w:w="1516" w:type="dxa"/>
            <w:tcBorders>
              <w:top w:val="single" w:sz="4" w:space="0" w:color="FFFFFF" w:themeColor="background1"/>
            </w:tcBorders>
          </w:tcPr>
          <w:p w14:paraId="2C4AF221" w14:textId="5DC1A99B" w:rsidR="00966ECD" w:rsidRPr="008D0695" w:rsidRDefault="000349B2" w:rsidP="00966ECD">
            <w:pPr>
              <w:spacing w:after="0" w:line="240" w:lineRule="auto"/>
              <w:jc w:val="right"/>
              <w:rPr>
                <w:color w:val="000000"/>
                <w:lang w:val="sq-AL"/>
              </w:rPr>
            </w:pPr>
            <w:r w:rsidRPr="008D0695">
              <w:rPr>
                <w:color w:val="000000"/>
                <w:lang w:val="sq-AL"/>
              </w:rPr>
              <w:t>0.</w:t>
            </w:r>
            <w:r w:rsidR="008D0695">
              <w:rPr>
                <w:color w:val="000000"/>
                <w:lang w:val="sq-AL"/>
              </w:rPr>
              <w:t>07</w:t>
            </w:r>
          </w:p>
        </w:tc>
        <w:tc>
          <w:tcPr>
            <w:tcW w:w="1568" w:type="dxa"/>
            <w:tcBorders>
              <w:top w:val="single" w:sz="4" w:space="0" w:color="FFFFFF" w:themeColor="background1"/>
            </w:tcBorders>
          </w:tcPr>
          <w:p w14:paraId="52379AC7" w14:textId="25C15117" w:rsidR="00966ECD" w:rsidRPr="008D0695" w:rsidRDefault="00B321E1" w:rsidP="000349B2">
            <w:pPr>
              <w:spacing w:after="0" w:line="240" w:lineRule="auto"/>
              <w:jc w:val="right"/>
              <w:rPr>
                <w:color w:val="000000"/>
                <w:lang w:val="sq-AL"/>
              </w:rPr>
            </w:pPr>
            <w:r w:rsidRPr="008D0695">
              <w:rPr>
                <w:color w:val="000000"/>
                <w:lang w:val="sq-AL"/>
              </w:rPr>
              <w:t>2</w:t>
            </w:r>
            <w:r w:rsidR="008D0695">
              <w:rPr>
                <w:color w:val="000000"/>
                <w:lang w:val="sq-AL"/>
              </w:rPr>
              <w:t>5</w:t>
            </w:r>
            <w:r w:rsidRPr="008D0695">
              <w:rPr>
                <w:color w:val="000000"/>
                <w:lang w:val="sq-AL"/>
              </w:rPr>
              <w:t>.</w:t>
            </w:r>
            <w:r w:rsidR="008D0695">
              <w:rPr>
                <w:color w:val="000000"/>
                <w:lang w:val="sq-AL"/>
              </w:rPr>
              <w:t>21</w:t>
            </w:r>
          </w:p>
        </w:tc>
        <w:tc>
          <w:tcPr>
            <w:tcW w:w="1170" w:type="dxa"/>
            <w:tcBorders>
              <w:top w:val="single" w:sz="4" w:space="0" w:color="FFFFFF" w:themeColor="background1"/>
            </w:tcBorders>
          </w:tcPr>
          <w:p w14:paraId="3A39A660" w14:textId="59C82F27" w:rsidR="00966ECD" w:rsidRPr="008D0695" w:rsidRDefault="008D0695" w:rsidP="00966ECD">
            <w:pPr>
              <w:spacing w:after="0" w:line="240" w:lineRule="auto"/>
              <w:jc w:val="right"/>
              <w:rPr>
                <w:color w:val="000000"/>
                <w:lang w:val="sq-AL"/>
              </w:rPr>
            </w:pPr>
            <w:r>
              <w:rPr>
                <w:color w:val="000000"/>
                <w:lang w:val="sq-AL"/>
              </w:rPr>
              <w:t>25.28</w:t>
            </w:r>
          </w:p>
        </w:tc>
      </w:tr>
      <w:tr w:rsidR="00B321E1" w:rsidRPr="008D0695" w14:paraId="3970A592" w14:textId="77777777" w:rsidTr="00F940AC">
        <w:trPr>
          <w:jc w:val="center"/>
        </w:trPr>
        <w:tc>
          <w:tcPr>
            <w:tcW w:w="2094" w:type="dxa"/>
          </w:tcPr>
          <w:p w14:paraId="1E704F8B" w14:textId="3A2B5582" w:rsidR="00966ECD" w:rsidRPr="008D0695" w:rsidRDefault="00237FBB" w:rsidP="00966ECD">
            <w:pPr>
              <w:spacing w:after="0" w:line="240" w:lineRule="auto"/>
              <w:rPr>
                <w:color w:val="000000"/>
                <w:lang w:val="sq-AL"/>
              </w:rPr>
            </w:pPr>
            <w:r>
              <w:rPr>
                <w:color w:val="000000"/>
                <w:lang w:val="sq-AL"/>
              </w:rPr>
              <w:t>Amortizacija</w:t>
            </w:r>
          </w:p>
        </w:tc>
        <w:tc>
          <w:tcPr>
            <w:tcW w:w="876" w:type="dxa"/>
          </w:tcPr>
          <w:p w14:paraId="55A85891"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Pr>
          <w:p w14:paraId="365AA10C" w14:textId="5080AC51" w:rsidR="00966ECD" w:rsidRPr="008D0695" w:rsidRDefault="00966ECD" w:rsidP="000349B2">
            <w:pPr>
              <w:spacing w:after="0" w:line="240" w:lineRule="auto"/>
              <w:jc w:val="right"/>
              <w:rPr>
                <w:color w:val="000000"/>
                <w:lang w:val="sq-AL"/>
              </w:rPr>
            </w:pPr>
            <w:r w:rsidRPr="008D0695">
              <w:rPr>
                <w:color w:val="000000"/>
                <w:lang w:val="sq-AL"/>
              </w:rPr>
              <w:t>1</w:t>
            </w:r>
            <w:r w:rsidR="008D0695">
              <w:rPr>
                <w:color w:val="000000"/>
                <w:lang w:val="sq-AL"/>
              </w:rPr>
              <w:t>5.40</w:t>
            </w:r>
          </w:p>
        </w:tc>
        <w:tc>
          <w:tcPr>
            <w:tcW w:w="1516" w:type="dxa"/>
          </w:tcPr>
          <w:p w14:paraId="4DE11230" w14:textId="5F7786FC" w:rsidR="00966ECD" w:rsidRPr="008D0695" w:rsidRDefault="000349B2" w:rsidP="00966ECD">
            <w:pPr>
              <w:spacing w:after="0" w:line="240" w:lineRule="auto"/>
              <w:jc w:val="right"/>
              <w:rPr>
                <w:color w:val="000000"/>
                <w:lang w:val="sq-AL"/>
              </w:rPr>
            </w:pPr>
            <w:r w:rsidRPr="008D0695">
              <w:rPr>
                <w:color w:val="000000"/>
                <w:lang w:val="sq-AL"/>
              </w:rPr>
              <w:t>0.</w:t>
            </w:r>
            <w:r w:rsidR="008D0695">
              <w:rPr>
                <w:color w:val="000000"/>
                <w:lang w:val="sq-AL"/>
              </w:rPr>
              <w:t>04</w:t>
            </w:r>
          </w:p>
        </w:tc>
        <w:tc>
          <w:tcPr>
            <w:tcW w:w="1568" w:type="dxa"/>
          </w:tcPr>
          <w:p w14:paraId="4E83AA8E" w14:textId="2C28FB04" w:rsidR="00966ECD" w:rsidRPr="008D0695" w:rsidRDefault="000349B2" w:rsidP="00966ECD">
            <w:pPr>
              <w:spacing w:after="0" w:line="240" w:lineRule="auto"/>
              <w:jc w:val="right"/>
              <w:rPr>
                <w:color w:val="000000"/>
                <w:lang w:val="sq-AL"/>
              </w:rPr>
            </w:pPr>
            <w:r w:rsidRPr="008D0695">
              <w:rPr>
                <w:color w:val="000000"/>
                <w:lang w:val="sq-AL"/>
              </w:rPr>
              <w:t>1</w:t>
            </w:r>
            <w:r w:rsidR="008D0695">
              <w:rPr>
                <w:color w:val="000000"/>
                <w:lang w:val="sq-AL"/>
              </w:rPr>
              <w:t>6.17</w:t>
            </w:r>
          </w:p>
        </w:tc>
        <w:tc>
          <w:tcPr>
            <w:tcW w:w="1170" w:type="dxa"/>
          </w:tcPr>
          <w:p w14:paraId="2C32F1BD" w14:textId="34EA834F" w:rsidR="00966ECD" w:rsidRPr="008D0695" w:rsidRDefault="008D0695" w:rsidP="00966ECD">
            <w:pPr>
              <w:spacing w:after="0" w:line="240" w:lineRule="auto"/>
              <w:jc w:val="right"/>
              <w:rPr>
                <w:color w:val="000000"/>
                <w:lang w:val="sq-AL"/>
              </w:rPr>
            </w:pPr>
            <w:r>
              <w:rPr>
                <w:color w:val="000000"/>
                <w:lang w:val="sq-AL"/>
              </w:rPr>
              <w:t>16.21</w:t>
            </w:r>
          </w:p>
        </w:tc>
      </w:tr>
      <w:tr w:rsidR="00B321E1" w:rsidRPr="008D0695" w14:paraId="10062188" w14:textId="77777777" w:rsidTr="00F940AC">
        <w:trPr>
          <w:jc w:val="center"/>
        </w:trPr>
        <w:tc>
          <w:tcPr>
            <w:tcW w:w="2094" w:type="dxa"/>
            <w:tcBorders>
              <w:bottom w:val="single" w:sz="4" w:space="0" w:color="FFFFFF" w:themeColor="background1"/>
            </w:tcBorders>
          </w:tcPr>
          <w:p w14:paraId="318C9793" w14:textId="6E419E0D" w:rsidR="00966ECD" w:rsidRPr="008D0695" w:rsidRDefault="003D53A5" w:rsidP="00966ECD">
            <w:pPr>
              <w:spacing w:after="0" w:line="240" w:lineRule="auto"/>
              <w:rPr>
                <w:color w:val="000000"/>
                <w:lang w:val="sq-AL"/>
              </w:rPr>
            </w:pPr>
            <w:r>
              <w:rPr>
                <w:color w:val="000000"/>
                <w:lang w:val="sq-AL"/>
              </w:rPr>
              <w:t>Povrat</w:t>
            </w:r>
          </w:p>
        </w:tc>
        <w:tc>
          <w:tcPr>
            <w:tcW w:w="876" w:type="dxa"/>
            <w:tcBorders>
              <w:bottom w:val="single" w:sz="4" w:space="0" w:color="FFFFFF" w:themeColor="background1"/>
            </w:tcBorders>
          </w:tcPr>
          <w:p w14:paraId="799FAB74"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Borders>
              <w:bottom w:val="single" w:sz="4" w:space="0" w:color="FFFFFF" w:themeColor="background1"/>
            </w:tcBorders>
          </w:tcPr>
          <w:p w14:paraId="7D818529" w14:textId="776B554A" w:rsidR="00966ECD" w:rsidRPr="008D0695" w:rsidRDefault="008D0695" w:rsidP="00966ECD">
            <w:pPr>
              <w:spacing w:after="0" w:line="240" w:lineRule="auto"/>
              <w:jc w:val="right"/>
              <w:rPr>
                <w:color w:val="000000"/>
                <w:lang w:val="sq-AL"/>
              </w:rPr>
            </w:pPr>
            <w:r>
              <w:rPr>
                <w:color w:val="000000"/>
                <w:lang w:val="sq-AL"/>
              </w:rPr>
              <w:t>15.12</w:t>
            </w:r>
          </w:p>
        </w:tc>
        <w:tc>
          <w:tcPr>
            <w:tcW w:w="1516" w:type="dxa"/>
            <w:tcBorders>
              <w:bottom w:val="single" w:sz="4" w:space="0" w:color="FFFFFF" w:themeColor="background1"/>
            </w:tcBorders>
          </w:tcPr>
          <w:p w14:paraId="6CDE7831" w14:textId="7F6593D0" w:rsidR="00966ECD" w:rsidRPr="008D0695" w:rsidRDefault="00966ECD" w:rsidP="00966ECD">
            <w:pPr>
              <w:spacing w:after="0" w:line="240" w:lineRule="auto"/>
              <w:jc w:val="right"/>
              <w:rPr>
                <w:color w:val="000000"/>
                <w:lang w:val="sq-AL"/>
              </w:rPr>
            </w:pPr>
            <w:r w:rsidRPr="008D0695">
              <w:rPr>
                <w:color w:val="000000"/>
                <w:lang w:val="sq-AL"/>
              </w:rPr>
              <w:t>0.</w:t>
            </w:r>
            <w:r w:rsidR="008D0695">
              <w:rPr>
                <w:color w:val="000000"/>
                <w:lang w:val="sq-AL"/>
              </w:rPr>
              <w:t>04</w:t>
            </w:r>
          </w:p>
        </w:tc>
        <w:tc>
          <w:tcPr>
            <w:tcW w:w="1568" w:type="dxa"/>
            <w:tcBorders>
              <w:bottom w:val="single" w:sz="4" w:space="0" w:color="FFFFFF" w:themeColor="background1"/>
            </w:tcBorders>
          </w:tcPr>
          <w:p w14:paraId="2DB5EB36" w14:textId="3D798543" w:rsidR="00966ECD" w:rsidRPr="008D0695" w:rsidRDefault="000349B2" w:rsidP="00966ECD">
            <w:pPr>
              <w:spacing w:after="0" w:line="240" w:lineRule="auto"/>
              <w:jc w:val="right"/>
              <w:rPr>
                <w:color w:val="000000"/>
                <w:lang w:val="sq-AL"/>
              </w:rPr>
            </w:pPr>
            <w:r w:rsidRPr="008D0695">
              <w:rPr>
                <w:color w:val="000000"/>
                <w:lang w:val="sq-AL"/>
              </w:rPr>
              <w:t>1</w:t>
            </w:r>
            <w:r w:rsidR="008D0695">
              <w:rPr>
                <w:color w:val="000000"/>
                <w:lang w:val="sq-AL"/>
              </w:rPr>
              <w:t>5.90</w:t>
            </w:r>
          </w:p>
        </w:tc>
        <w:tc>
          <w:tcPr>
            <w:tcW w:w="1170" w:type="dxa"/>
            <w:tcBorders>
              <w:bottom w:val="single" w:sz="4" w:space="0" w:color="FFFFFF" w:themeColor="background1"/>
            </w:tcBorders>
          </w:tcPr>
          <w:p w14:paraId="370D3063" w14:textId="1D7922AE" w:rsidR="00966ECD" w:rsidRPr="008D0695" w:rsidRDefault="000349B2" w:rsidP="00966ECD">
            <w:pPr>
              <w:spacing w:after="0" w:line="240" w:lineRule="auto"/>
              <w:jc w:val="right"/>
              <w:rPr>
                <w:color w:val="000000"/>
                <w:lang w:val="sq-AL"/>
              </w:rPr>
            </w:pPr>
            <w:r w:rsidRPr="008D0695">
              <w:rPr>
                <w:color w:val="000000"/>
                <w:lang w:val="sq-AL"/>
              </w:rPr>
              <w:t>15.</w:t>
            </w:r>
            <w:r w:rsidR="008D0695">
              <w:rPr>
                <w:color w:val="000000"/>
                <w:lang w:val="sq-AL"/>
              </w:rPr>
              <w:t>94</w:t>
            </w:r>
          </w:p>
        </w:tc>
      </w:tr>
      <w:tr w:rsidR="00B321E1" w:rsidRPr="0050005A" w14:paraId="31ACC468" w14:textId="77777777" w:rsidTr="00F940AC">
        <w:trPr>
          <w:trHeight w:val="251"/>
          <w:jc w:val="center"/>
        </w:trPr>
        <w:tc>
          <w:tcPr>
            <w:tcW w:w="2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56411088" w14:textId="1730DC6C" w:rsidR="00966ECD" w:rsidRPr="008D0695" w:rsidRDefault="003D53A5" w:rsidP="00966ECD">
            <w:pPr>
              <w:spacing w:after="0" w:line="240" w:lineRule="auto"/>
              <w:rPr>
                <w:color w:val="FFFFFF" w:themeColor="background1"/>
                <w:lang w:val="sq-AL"/>
              </w:rPr>
            </w:pPr>
            <w:r>
              <w:rPr>
                <w:color w:val="FFFFFF" w:themeColor="background1"/>
                <w:lang w:val="sq-AL"/>
              </w:rPr>
              <w:t>Ukupno</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9241F1B" w14:textId="77777777" w:rsidR="00966ECD" w:rsidRPr="008D0695" w:rsidRDefault="00966ECD" w:rsidP="00966ECD">
            <w:pPr>
              <w:spacing w:after="0" w:line="240" w:lineRule="auto"/>
              <w:jc w:val="center"/>
              <w:rPr>
                <w:color w:val="FFFFFF" w:themeColor="background1"/>
                <w:lang w:val="sq-AL"/>
              </w:rPr>
            </w:pPr>
            <w:r w:rsidRPr="008D0695">
              <w:rPr>
                <w:color w:val="FFFFFF" w:themeColor="background1"/>
                <w:lang w:val="sq-AL"/>
              </w:rPr>
              <w:t>mil€</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9C9FF4A" w14:textId="1DC4BDB5" w:rsidR="00966ECD" w:rsidRPr="008D0695" w:rsidRDefault="00E202B8" w:rsidP="000349B2">
            <w:pPr>
              <w:spacing w:after="0" w:line="240" w:lineRule="auto"/>
              <w:jc w:val="right"/>
              <w:rPr>
                <w:color w:val="FFFFFF" w:themeColor="background1"/>
                <w:lang w:val="sq-AL"/>
              </w:rPr>
            </w:pPr>
            <w:r w:rsidRPr="008D0695">
              <w:rPr>
                <w:color w:val="FFFFFF" w:themeColor="background1"/>
                <w:lang w:val="sq-AL"/>
              </w:rPr>
              <w:fldChar w:fldCharType="begin"/>
            </w:r>
            <w:r w:rsidR="00B321E1" w:rsidRPr="008D0695">
              <w:rPr>
                <w:color w:val="FFFFFF" w:themeColor="background1"/>
                <w:lang w:val="sq-AL"/>
              </w:rPr>
              <w:instrText xml:space="preserve"> =SUM(ABOVE) </w:instrText>
            </w:r>
            <w:r w:rsidRPr="008D0695">
              <w:rPr>
                <w:color w:val="FFFFFF" w:themeColor="background1"/>
                <w:lang w:val="sq-AL"/>
              </w:rPr>
              <w:fldChar w:fldCharType="separate"/>
            </w:r>
            <w:r w:rsidR="008D0695">
              <w:rPr>
                <w:noProof/>
                <w:color w:val="FFFFFF" w:themeColor="background1"/>
                <w:lang w:val="sq-AL"/>
              </w:rPr>
              <w:t>56.36</w:t>
            </w:r>
            <w:r w:rsidRPr="008D0695">
              <w:rPr>
                <w:color w:val="FFFFFF" w:themeColor="background1"/>
                <w:lang w:val="sq-AL"/>
              </w:rPr>
              <w:fldChar w:fldCharType="end"/>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7553815D" w14:textId="377536AE" w:rsidR="00966ECD" w:rsidRPr="008D0695" w:rsidRDefault="000349B2" w:rsidP="000349B2">
            <w:pPr>
              <w:tabs>
                <w:tab w:val="center" w:pos="650"/>
                <w:tab w:val="right" w:pos="1300"/>
              </w:tabs>
              <w:spacing w:after="0" w:line="240" w:lineRule="auto"/>
              <w:jc w:val="right"/>
              <w:rPr>
                <w:color w:val="FFFFFF" w:themeColor="background1"/>
                <w:lang w:val="sq-AL"/>
              </w:rPr>
            </w:pPr>
            <w:r w:rsidRPr="008D0695">
              <w:rPr>
                <w:color w:val="FFFFFF" w:themeColor="background1"/>
                <w:lang w:val="sq-AL"/>
              </w:rPr>
              <w:t>0.</w:t>
            </w:r>
            <w:r w:rsidR="008D0695">
              <w:rPr>
                <w:color w:val="FFFFFF" w:themeColor="background1"/>
                <w:lang w:val="sq-AL"/>
              </w:rPr>
              <w:t>1</w:t>
            </w:r>
            <w:r w:rsidRPr="008D0695">
              <w:rPr>
                <w:color w:val="FFFFFF" w:themeColor="background1"/>
                <w:lang w:val="sq-AL"/>
              </w:rPr>
              <w:t>5</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1F96B191" w14:textId="79699D62" w:rsidR="00966ECD" w:rsidRPr="008D0695" w:rsidRDefault="00E202B8" w:rsidP="00966ECD">
            <w:pPr>
              <w:spacing w:after="0" w:line="240" w:lineRule="auto"/>
              <w:jc w:val="right"/>
              <w:rPr>
                <w:color w:val="FFFFFF" w:themeColor="background1"/>
                <w:lang w:val="sq-AL"/>
              </w:rPr>
            </w:pPr>
            <w:r w:rsidRPr="008D0695">
              <w:rPr>
                <w:color w:val="FFFFFF" w:themeColor="background1"/>
                <w:lang w:val="sq-AL"/>
              </w:rPr>
              <w:fldChar w:fldCharType="begin"/>
            </w:r>
            <w:r w:rsidR="00B321E1" w:rsidRPr="008D0695">
              <w:rPr>
                <w:color w:val="FFFFFF" w:themeColor="background1"/>
                <w:lang w:val="sq-AL"/>
              </w:rPr>
              <w:instrText xml:space="preserve"> =SUM(ABOVE) </w:instrText>
            </w:r>
            <w:r w:rsidRPr="008D0695">
              <w:rPr>
                <w:color w:val="FFFFFF" w:themeColor="background1"/>
                <w:lang w:val="sq-AL"/>
              </w:rPr>
              <w:fldChar w:fldCharType="separate"/>
            </w:r>
            <w:r w:rsidR="008D0695">
              <w:rPr>
                <w:noProof/>
                <w:color w:val="FFFFFF" w:themeColor="background1"/>
                <w:lang w:val="sq-AL"/>
              </w:rPr>
              <w:t>57.28</w:t>
            </w:r>
            <w:r w:rsidRPr="008D0695">
              <w:rPr>
                <w:color w:val="FFFFFF" w:themeColor="background1"/>
                <w:lang w:val="sq-AL"/>
              </w:rPr>
              <w:fldChar w:fldCharType="end"/>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7326C6FD" w14:textId="79A82796" w:rsidR="00966ECD" w:rsidRPr="0050005A" w:rsidRDefault="000349B2" w:rsidP="00966ECD">
            <w:pPr>
              <w:spacing w:after="0" w:line="240" w:lineRule="auto"/>
              <w:jc w:val="right"/>
              <w:rPr>
                <w:color w:val="FFFFFF" w:themeColor="background1"/>
                <w:lang w:val="sq-AL"/>
              </w:rPr>
            </w:pPr>
            <w:r w:rsidRPr="008D0695">
              <w:rPr>
                <w:color w:val="FFFFFF" w:themeColor="background1"/>
                <w:lang w:val="sq-AL"/>
              </w:rPr>
              <w:t>5</w:t>
            </w:r>
            <w:r w:rsidR="008D0695">
              <w:rPr>
                <w:color w:val="FFFFFF" w:themeColor="background1"/>
                <w:lang w:val="sq-AL"/>
              </w:rPr>
              <w:t>7</w:t>
            </w:r>
            <w:r w:rsidRPr="008D0695">
              <w:rPr>
                <w:color w:val="FFFFFF" w:themeColor="background1"/>
                <w:lang w:val="sq-AL"/>
              </w:rPr>
              <w:t>.</w:t>
            </w:r>
            <w:r w:rsidR="008D0695">
              <w:rPr>
                <w:color w:val="FFFFFF" w:themeColor="background1"/>
                <w:lang w:val="sq-AL"/>
              </w:rPr>
              <w:t>42</w:t>
            </w:r>
          </w:p>
        </w:tc>
      </w:tr>
    </w:tbl>
    <w:p w14:paraId="4BF7A438" w14:textId="77777777" w:rsidR="00D850AB" w:rsidRDefault="00D850AB" w:rsidP="00026AD9">
      <w:pPr>
        <w:pStyle w:val="Heading1"/>
        <w:numPr>
          <w:ilvl w:val="0"/>
          <w:numId w:val="0"/>
        </w:numPr>
        <w:spacing w:before="0" w:after="0"/>
        <w:ind w:left="720" w:hanging="720"/>
        <w:rPr>
          <w:rFonts w:asciiTheme="minorHAnsi" w:hAnsiTheme="minorHAnsi" w:cstheme="minorHAnsi"/>
          <w:lang w:val="sq-AL"/>
        </w:rPr>
      </w:pPr>
    </w:p>
    <w:p w14:paraId="7663DB65" w14:textId="77777777" w:rsidR="00092F60" w:rsidRPr="00354587" w:rsidRDefault="00026AD9" w:rsidP="00CE6871">
      <w:pPr>
        <w:spacing w:after="0"/>
        <w:jc w:val="both"/>
        <w:rPr>
          <w:lang w:val="sq-AL"/>
        </w:rPr>
      </w:pPr>
      <w:r w:rsidRPr="00354587">
        <w:rPr>
          <w:lang w:val="sq-AL"/>
        </w:rPr>
        <w:t>Përkundër kërkesës së KEDS për rritje të kostove të</w:t>
      </w:r>
      <w:r w:rsidR="00092F60" w:rsidRPr="00354587">
        <w:rPr>
          <w:lang w:val="sq-AL"/>
        </w:rPr>
        <w:t xml:space="preserve"> OPEX-it (rritje e pagave, </w:t>
      </w:r>
      <w:r w:rsidRPr="00354587">
        <w:rPr>
          <w:lang w:val="sq-AL"/>
        </w:rPr>
        <w:t>derivateve, mirëmbajtjes) për vitin 2020</w:t>
      </w:r>
      <w:r w:rsidR="00CE6871" w:rsidRPr="00354587">
        <w:rPr>
          <w:lang w:val="sq-AL"/>
        </w:rPr>
        <w:t xml:space="preserve"> në vlerë prej 2% (0.5mil€) krahasuar me lejimet e OPEX-it për vitin 2020 të vlerësuar </w:t>
      </w:r>
      <w:r w:rsidR="00CE6871" w:rsidRPr="00354587">
        <w:rPr>
          <w:lang w:val="sq-AL"/>
        </w:rPr>
        <w:lastRenderedPageBreak/>
        <w:t>gjatë PRR2</w:t>
      </w:r>
      <w:r w:rsidRPr="00354587">
        <w:rPr>
          <w:lang w:val="sq-AL"/>
        </w:rPr>
        <w:t xml:space="preserve">, </w:t>
      </w:r>
      <w:r w:rsidR="00CE6871" w:rsidRPr="00354587">
        <w:rPr>
          <w:lang w:val="sq-AL"/>
        </w:rPr>
        <w:t>ZRRE ka lejuar rritje të OPEX-it për KEDS gjatë shqyrtimit periodik 2018-2022 dhe konsideron se rritjet e mëtejme janë të paarsyeshme duke marr parasysh edhe efikasitetin e nevojshëm nëpër vite.</w:t>
      </w:r>
      <w:r w:rsidR="00092F60" w:rsidRPr="00354587">
        <w:rPr>
          <w:lang w:val="sq-AL"/>
        </w:rPr>
        <w:t xml:space="preserve"> </w:t>
      </w:r>
    </w:p>
    <w:p w14:paraId="6FE4B6D6" w14:textId="77777777" w:rsidR="00463874" w:rsidRDefault="00463874" w:rsidP="00CE6871">
      <w:pPr>
        <w:spacing w:after="0"/>
        <w:jc w:val="both"/>
        <w:rPr>
          <w:b/>
          <w:lang w:val="sq-AL"/>
        </w:rPr>
      </w:pPr>
    </w:p>
    <w:p w14:paraId="34472767" w14:textId="0085EE9B" w:rsidR="003F62EE" w:rsidRPr="003F62EE" w:rsidRDefault="002676C0" w:rsidP="002676C0">
      <w:pPr>
        <w:pStyle w:val="Heading2"/>
      </w:pPr>
      <w:bookmarkStart w:id="5" w:name="_Toc80691545"/>
      <w:r w:rsidRPr="002676C0">
        <w:t xml:space="preserve">Dodatni troškovi povezani sa </w:t>
      </w:r>
      <w:r w:rsidR="003F62EE">
        <w:t>COVID-19</w:t>
      </w:r>
      <w:bookmarkEnd w:id="5"/>
    </w:p>
    <w:p w14:paraId="28BF7768" w14:textId="75BB6D7C" w:rsidR="00026AD9" w:rsidRDefault="002676C0" w:rsidP="00CE6871">
      <w:pPr>
        <w:spacing w:after="0"/>
        <w:jc w:val="both"/>
        <w:rPr>
          <w:lang w:val="sq-AL"/>
        </w:rPr>
      </w:pPr>
      <w:r w:rsidRPr="002676C0">
        <w:rPr>
          <w:lang w:val="sq-AL"/>
        </w:rPr>
        <w:t>Što se tiče dodatnih troškova zdravstvenog osiguranja u iznosu od 19 hilja</w:t>
      </w:r>
      <w:r>
        <w:rPr>
          <w:lang w:val="sq-AL"/>
        </w:rPr>
        <w:t>da E</w:t>
      </w:r>
      <w:r w:rsidRPr="002676C0">
        <w:rPr>
          <w:lang w:val="sq-AL"/>
        </w:rPr>
        <w:t>vra mesečno, RUE ih je u načelu smatrao razumnim, međutim zatražio je od KEDS -a da dokaže da je odabrao najpovoljniji ugovor putem konkurentskog procesa. Kako KEDS nije pružio dokaze na zahtev RUE, ovi troškovi se u ovoj fazi ne priznaju. KEDS će moći da prikaže ove dokaze tokom javne rasprave, u suprotnom dodatni troškovi vezani za zdravstveno osiguranje neće biti priznati u MAR -u relevantne tarifne godine 2021. Što se tiče troškova osiguranja vozila, oni su prihvac</w:t>
      </w:r>
      <w:r w:rsidR="00F5419D">
        <w:rPr>
          <w:lang w:val="sq-AL"/>
        </w:rPr>
        <w:t>́eni u vrednosti od 15 hiljada Evra</w:t>
      </w:r>
      <w:r w:rsidRPr="002676C0">
        <w:rPr>
          <w:lang w:val="sq-AL"/>
        </w:rPr>
        <w:t>, je</w:t>
      </w:r>
      <w:r w:rsidR="00C77437">
        <w:rPr>
          <w:lang w:val="sq-AL"/>
        </w:rPr>
        <w:t>r su van kontrole korisnika</w:t>
      </w:r>
      <w:r w:rsidRPr="002676C0">
        <w:rPr>
          <w:lang w:val="sq-AL"/>
        </w:rPr>
        <w:t>.</w:t>
      </w:r>
      <w:r w:rsidR="00092F60">
        <w:rPr>
          <w:lang w:val="sq-AL"/>
        </w:rPr>
        <w:t xml:space="preserve"> </w:t>
      </w:r>
    </w:p>
    <w:p w14:paraId="54549437" w14:textId="77777777" w:rsidR="00135D63" w:rsidRDefault="00135D63" w:rsidP="00CE6871">
      <w:pPr>
        <w:spacing w:after="0"/>
        <w:jc w:val="both"/>
        <w:rPr>
          <w:lang w:val="sq-AL"/>
        </w:rPr>
      </w:pPr>
    </w:p>
    <w:p w14:paraId="4BC6EE1A" w14:textId="178168EF" w:rsidR="00776BE1" w:rsidRDefault="00C77437" w:rsidP="00CE6871">
      <w:pPr>
        <w:spacing w:after="0"/>
        <w:jc w:val="both"/>
        <w:rPr>
          <w:lang w:val="sq-AL"/>
        </w:rPr>
      </w:pPr>
      <w:r w:rsidRPr="00C77437">
        <w:rPr>
          <w:lang w:val="sq-AL"/>
        </w:rPr>
        <w:t>KEDS je u svojoj prijavi zatražio priznavanje dodatnih tro</w:t>
      </w:r>
      <w:r>
        <w:rPr>
          <w:lang w:val="sq-AL"/>
        </w:rPr>
        <w:t>škova u iznosu od 0,44 miliona E</w:t>
      </w:r>
      <w:r w:rsidRPr="00C77437">
        <w:rPr>
          <w:lang w:val="sq-AL"/>
        </w:rPr>
        <w:t>vra na ime dodatnih isplata za osoblje koje je smatrao podsticajima za njihovo angažovanje tokom pandemije COVID-19. KEDS</w:t>
      </w:r>
      <w:r>
        <w:rPr>
          <w:lang w:val="sq-AL"/>
        </w:rPr>
        <w:t>,</w:t>
      </w:r>
      <w:r w:rsidRPr="00C77437">
        <w:rPr>
          <w:lang w:val="sq-AL"/>
        </w:rPr>
        <w:t xml:space="preserve"> takođe podržava njegov zahtev na osnovu toga što su drugi operateri u energetskom sektoru primenili takve podsticaje.</w:t>
      </w:r>
      <w:r w:rsidR="00135D63">
        <w:rPr>
          <w:lang w:val="sq-AL"/>
        </w:rPr>
        <w:t xml:space="preserve"> </w:t>
      </w:r>
    </w:p>
    <w:p w14:paraId="29A93968" w14:textId="0C1F4364" w:rsidR="00776BE1" w:rsidRDefault="008261DE" w:rsidP="00CE6871">
      <w:pPr>
        <w:spacing w:after="0"/>
        <w:jc w:val="both"/>
        <w:rPr>
          <w:lang w:val="sq-AL"/>
        </w:rPr>
      </w:pPr>
      <w:r w:rsidRPr="008261DE">
        <w:rPr>
          <w:lang w:val="sq-AL"/>
        </w:rPr>
        <w:t>RUE je pažljivo postupao sa zahtevima ODS-a u vezi sa dodatnim troškovima vezanim za COVID-19, a takođe je analizirao primenu podsticaja koje su odredili drugi operateri, uključujući KEK dd.</w:t>
      </w:r>
      <w:r w:rsidR="00406D54">
        <w:rPr>
          <w:lang w:val="sq-AL"/>
        </w:rPr>
        <w:t xml:space="preserve"> </w:t>
      </w:r>
    </w:p>
    <w:p w14:paraId="715B2E07" w14:textId="77777777" w:rsidR="008D0695" w:rsidRDefault="008D0695" w:rsidP="00CE6871">
      <w:pPr>
        <w:spacing w:after="0"/>
        <w:jc w:val="both"/>
        <w:rPr>
          <w:lang w:val="sq-AL"/>
        </w:rPr>
      </w:pPr>
    </w:p>
    <w:p w14:paraId="5C0C1C14" w14:textId="271EED67" w:rsidR="00B1447F" w:rsidRDefault="008261DE" w:rsidP="00B1447F">
      <w:pPr>
        <w:spacing w:after="0"/>
        <w:jc w:val="both"/>
        <w:rPr>
          <w:lang w:val="sq-AL"/>
        </w:rPr>
      </w:pPr>
      <w:r w:rsidRPr="008261DE">
        <w:rPr>
          <w:lang w:val="sq-AL"/>
        </w:rPr>
        <w:t>S obzirom na tešku finansijsku situaciju domaćinstava i poslovnih korisnika, teret bi čak i uz</w:t>
      </w:r>
      <w:r>
        <w:rPr>
          <w:lang w:val="sq-AL"/>
        </w:rPr>
        <w:t xml:space="preserve"> takve dodatne troškove jo</w:t>
      </w:r>
      <w:r>
        <w:rPr>
          <w:rFonts w:cs="Calibri"/>
          <w:lang w:val="sq-AL"/>
        </w:rPr>
        <w:t>š</w:t>
      </w:r>
      <w:r>
        <w:rPr>
          <w:lang w:val="sq-AL"/>
        </w:rPr>
        <w:t xml:space="preserve"> vi</w:t>
      </w:r>
      <w:r>
        <w:rPr>
          <w:rFonts w:cs="Calibri"/>
          <w:lang w:val="sq-AL"/>
        </w:rPr>
        <w:t>š</w:t>
      </w:r>
      <w:r>
        <w:rPr>
          <w:lang w:val="sq-AL"/>
        </w:rPr>
        <w:t xml:space="preserve">e bih </w:t>
      </w:r>
      <w:r w:rsidRPr="008261DE">
        <w:rPr>
          <w:lang w:val="sq-AL"/>
        </w:rPr>
        <w:t>zakomplikova</w:t>
      </w:r>
      <w:r>
        <w:rPr>
          <w:lang w:val="sq-AL"/>
        </w:rPr>
        <w:t>l</w:t>
      </w:r>
      <w:r w:rsidRPr="008261DE">
        <w:rPr>
          <w:lang w:val="sq-AL"/>
        </w:rPr>
        <w:t xml:space="preserve">o njihovu situaciju. Stoga, RUE ne smatra razumnim da snosi dodatne troškove koji se odnose na direktna plaćanja zaposlenima u ODS -u. </w:t>
      </w:r>
      <w:r>
        <w:rPr>
          <w:lang w:val="sq-AL"/>
        </w:rPr>
        <w:t xml:space="preserve"> </w:t>
      </w:r>
      <w:r w:rsidRPr="008261DE">
        <w:rPr>
          <w:lang w:val="sq-AL"/>
        </w:rPr>
        <w:t>RUE želi da razjasni da je ODS mogao razmotriti takvu isplatu radnicima, samo kroz svoju zaradu, kao što su to učinili drugi operateri, koji nisu odrazili ove troškove u svojim cenama.</w:t>
      </w:r>
    </w:p>
    <w:p w14:paraId="189CEC27" w14:textId="77777777" w:rsidR="00354587" w:rsidRDefault="00354587" w:rsidP="00B1447F">
      <w:pPr>
        <w:spacing w:after="0"/>
        <w:jc w:val="both"/>
        <w:rPr>
          <w:lang w:val="sq-AL"/>
        </w:rPr>
      </w:pPr>
    </w:p>
    <w:p w14:paraId="579E082D" w14:textId="04D1A7A1" w:rsidR="00406D54" w:rsidRDefault="008261DE" w:rsidP="00B1447F">
      <w:pPr>
        <w:spacing w:after="0"/>
        <w:jc w:val="both"/>
        <w:rPr>
          <w:lang w:val="sq-AL"/>
        </w:rPr>
      </w:pPr>
      <w:r w:rsidRPr="008261DE">
        <w:rPr>
          <w:lang w:val="sq-AL"/>
        </w:rPr>
        <w:t>RUE je takođe u dokumentima na koje se ODS poziva u prijavi za MAR, pojasnio da smatra da je u načelu prikladno priznati troškove povezane sa održavanjem zdravlja usled COVID-19, prema Smern</w:t>
      </w:r>
      <w:r w:rsidR="00685A87">
        <w:rPr>
          <w:lang w:val="sq-AL"/>
        </w:rPr>
        <w:t>icama Nacionalnog instituta za J</w:t>
      </w:r>
      <w:r w:rsidRPr="008261DE">
        <w:rPr>
          <w:lang w:val="sq-AL"/>
        </w:rPr>
        <w:t>avno zdravlje Zdravlje, ali ne i podsticaji jer bi dodatno opteretili krajnjeg potrošača.</w:t>
      </w:r>
    </w:p>
    <w:p w14:paraId="64AC892D" w14:textId="77777777" w:rsidR="00135D63" w:rsidRDefault="00135D63" w:rsidP="00CE6871">
      <w:pPr>
        <w:spacing w:after="0"/>
        <w:jc w:val="both"/>
        <w:rPr>
          <w:lang w:val="sq-AL"/>
        </w:rPr>
      </w:pPr>
      <w:r>
        <w:rPr>
          <w:lang w:val="sq-AL"/>
        </w:rPr>
        <w:t xml:space="preserve"> </w:t>
      </w:r>
    </w:p>
    <w:p w14:paraId="00BA4572" w14:textId="265FF937" w:rsidR="00D850AB" w:rsidRPr="00B1447F" w:rsidRDefault="00685A87" w:rsidP="00D850AB">
      <w:pPr>
        <w:pStyle w:val="Heading2"/>
        <w:tabs>
          <w:tab w:val="clear" w:pos="720"/>
          <w:tab w:val="num" w:pos="810"/>
        </w:tabs>
        <w:ind w:left="810"/>
        <w:jc w:val="left"/>
        <w:rPr>
          <w:lang w:val="sq-AL"/>
        </w:rPr>
      </w:pPr>
      <w:r>
        <w:t>Prilagođavanje za prenosne potrošnje</w:t>
      </w:r>
    </w:p>
    <w:p w14:paraId="0506D4E0" w14:textId="5A2F0957" w:rsidR="00D850AB" w:rsidRPr="0050005A" w:rsidRDefault="00BD05F7" w:rsidP="00D850AB">
      <w:pPr>
        <w:spacing w:before="120"/>
        <w:jc w:val="both"/>
        <w:rPr>
          <w:lang w:val="sq-AL"/>
        </w:rPr>
      </w:pPr>
      <w:r>
        <w:t xml:space="preserve">Zbog razlika između predviđene energije i ODS-a koje se odnose na obaveze ODS-a prema Operatoru </w:t>
      </w:r>
      <w:r>
        <w:t>Tržišta (OT) i Operatoru S</w:t>
      </w:r>
      <w:r>
        <w:t>istema (OS), izvršena su prilagođavanja da bi se odrazile ove razlike. Vredn</w:t>
      </w:r>
      <w:r>
        <w:t>ost ovih prilagođavanja je -0,16 miliona E</w:t>
      </w:r>
      <w:r>
        <w:t>vra</w:t>
      </w:r>
      <w:r>
        <w:t xml:space="preserve"> </w:t>
      </w:r>
      <w:r w:rsidRPr="00BD05F7">
        <w:t>(razlika između 0,</w:t>
      </w:r>
      <w:r>
        <w:t>92 miliona i 1,07 miliona Evra)</w:t>
      </w:r>
      <w:r>
        <w:t xml:space="preserve">. </w:t>
      </w:r>
    </w:p>
    <w:p w14:paraId="72213A2A" w14:textId="365B044F" w:rsidR="00D850AB" w:rsidRPr="0050005A" w:rsidRDefault="00CB1BB9" w:rsidP="00D850AB">
      <w:pPr>
        <w:pStyle w:val="Heading2"/>
        <w:tabs>
          <w:tab w:val="clear" w:pos="720"/>
          <w:tab w:val="num" w:pos="810"/>
        </w:tabs>
        <w:ind w:left="810"/>
        <w:jc w:val="left"/>
        <w:rPr>
          <w:lang w:val="sq-AL"/>
        </w:rPr>
      </w:pPr>
      <w:r>
        <w:t>Prilagođavanja potrošnih gubitaka</w:t>
      </w:r>
      <w:r w:rsidR="00D850AB" w:rsidRPr="0050005A">
        <w:rPr>
          <w:lang w:val="sq-AL"/>
        </w:rPr>
        <w:t xml:space="preserve"> </w:t>
      </w:r>
    </w:p>
    <w:p w14:paraId="7FC149B5" w14:textId="31FC7073" w:rsidR="00D850AB" w:rsidRPr="0050005A" w:rsidRDefault="00CB1BB9" w:rsidP="00D850AB">
      <w:pPr>
        <w:spacing w:before="120"/>
        <w:jc w:val="both"/>
        <w:rPr>
          <w:lang w:val="sq-AL"/>
        </w:rPr>
      </w:pPr>
      <w:r>
        <w:t>Prilagođavanje potrošnje gubitaka za ODS radi</w:t>
      </w:r>
      <w:r>
        <w:t xml:space="preserve"> se prema formuli navedene dole</w:t>
      </w:r>
      <w:r w:rsidR="00D850AB" w:rsidRPr="0050005A">
        <w:rPr>
          <w:lang w:val="sq-AL"/>
        </w:rPr>
        <w:t xml:space="preserve">: </w:t>
      </w:r>
    </w:p>
    <w:p w14:paraId="3535ADA6" w14:textId="77777777" w:rsidR="00D850AB" w:rsidRPr="0050005A" w:rsidRDefault="00D850AB" w:rsidP="00D850AB">
      <w:pPr>
        <w:ind w:firstLine="720"/>
        <w:rPr>
          <w:lang w:val="sq-AL"/>
        </w:rPr>
      </w:pPr>
      <w:r w:rsidRPr="0050005A">
        <w:rPr>
          <w:lang w:val="sq-AL"/>
        </w:rPr>
        <w:t>(LSSCat-1 – LSSCft-1) * (1+ It)</w:t>
      </w:r>
    </w:p>
    <w:p w14:paraId="67538DBF" w14:textId="2322853C" w:rsidR="00D850AB" w:rsidRPr="0050005A" w:rsidRDefault="00CB1BB9" w:rsidP="00D850AB">
      <w:pPr>
        <w:jc w:val="both"/>
        <w:rPr>
          <w:lang w:val="sq-AL"/>
        </w:rPr>
      </w:pPr>
      <w:r>
        <w:t xml:space="preserve">Vrednost prilagođene potrošnje za gubitak je </w:t>
      </w:r>
      <w:r>
        <w:t>-5.3 miliona E</w:t>
      </w:r>
      <w:r>
        <w:t xml:space="preserve">vra, </w:t>
      </w:r>
      <w:r w:rsidRPr="00CB1BB9">
        <w:t xml:space="preserve">koji nastaje usled promene ostvarenih tokova energije u odnosu na </w:t>
      </w:r>
      <w:r>
        <w:t xml:space="preserve">one </w:t>
      </w:r>
      <w:r w:rsidRPr="00CB1BB9">
        <w:t>predviđene</w:t>
      </w:r>
      <w:r>
        <w:t>,</w:t>
      </w:r>
      <w:r w:rsidRPr="00CB1BB9">
        <w:t xml:space="preserve"> kao i razlike između predviđene i ostvarene cene </w:t>
      </w:r>
      <w:r>
        <w:t>Detalji o</w:t>
      </w:r>
      <w:r>
        <w:t>bračuna su dati u tabeli ispod</w:t>
      </w:r>
      <w:r w:rsidR="00D850AB" w:rsidRPr="0050005A">
        <w:rPr>
          <w:lang w:val="sq-AL"/>
        </w:rPr>
        <w:t xml:space="preserve">. </w:t>
      </w:r>
      <w:r w:rsidRPr="00CB1BB9">
        <w:rPr>
          <w:lang w:val="sq-AL"/>
        </w:rPr>
        <w:t>Detalji proračuna dati su u donjoj tabeli</w:t>
      </w:r>
      <w:r>
        <w:rPr>
          <w:lang w:val="sq-AL"/>
        </w:rPr>
        <w:t>.</w:t>
      </w:r>
    </w:p>
    <w:p w14:paraId="0B71CD6E" w14:textId="19BBCD3A" w:rsidR="00D850AB" w:rsidRPr="0050005A" w:rsidRDefault="00D850AB" w:rsidP="00D850AB">
      <w:pPr>
        <w:pStyle w:val="Caption"/>
        <w:rPr>
          <w:lang w:val="sq-AL"/>
        </w:rPr>
      </w:pPr>
      <w:r w:rsidRPr="0050005A">
        <w:rPr>
          <w:lang w:val="sq-AL"/>
        </w:rPr>
        <w:lastRenderedPageBreak/>
        <w:t xml:space="preserve">Tabela  </w:t>
      </w:r>
      <w:r w:rsidR="001D66A0">
        <w:rPr>
          <w:lang w:val="sq-AL"/>
        </w:rPr>
        <w:t>3</w:t>
      </w:r>
      <w:r w:rsidRPr="0050005A">
        <w:rPr>
          <w:lang w:val="sq-AL"/>
        </w:rPr>
        <w:t xml:space="preserve">: </w:t>
      </w:r>
      <w:r w:rsidR="00CB1BB9">
        <w:t xml:space="preserve">Prilagođavanja za potrošene gubitke </w:t>
      </w:r>
    </w:p>
    <w:tbl>
      <w:tblPr>
        <w:tblW w:w="7974" w:type="dxa"/>
        <w:jc w:val="center"/>
        <w:tblLook w:val="04A0" w:firstRow="1" w:lastRow="0" w:firstColumn="1" w:lastColumn="0" w:noHBand="0" w:noVBand="1"/>
      </w:tblPr>
      <w:tblGrid>
        <w:gridCol w:w="3544"/>
        <w:gridCol w:w="964"/>
        <w:gridCol w:w="1114"/>
        <w:gridCol w:w="1114"/>
        <w:gridCol w:w="1238"/>
      </w:tblGrid>
      <w:tr w:rsidR="00E25993" w:rsidRPr="004F47E3" w14:paraId="64569BA3" w14:textId="77777777" w:rsidTr="008C5359">
        <w:trPr>
          <w:trHeight w:val="780"/>
          <w:jc w:val="center"/>
        </w:trPr>
        <w:tc>
          <w:tcPr>
            <w:tcW w:w="3544" w:type="dxa"/>
            <w:tcBorders>
              <w:top w:val="nil"/>
              <w:left w:val="nil"/>
              <w:right w:val="single" w:sz="4" w:space="0" w:color="FFFFFF" w:themeColor="background1"/>
            </w:tcBorders>
            <w:shd w:val="clear" w:color="auto" w:fill="244061" w:themeFill="accent1" w:themeFillShade="80"/>
            <w:noWrap/>
            <w:vAlign w:val="center"/>
            <w:hideMark/>
          </w:tcPr>
          <w:p w14:paraId="27E29DCC" w14:textId="77777777" w:rsidR="00E25993" w:rsidRPr="004F47E3" w:rsidRDefault="00E25993" w:rsidP="00966ECD">
            <w:pPr>
              <w:spacing w:after="0" w:line="240" w:lineRule="auto"/>
              <w:rPr>
                <w:rFonts w:eastAsia="Times New Roman" w:cs="Calibri"/>
                <w:color w:val="FFFFFF"/>
                <w:sz w:val="20"/>
                <w:szCs w:val="20"/>
                <w:lang w:val="sq-AL"/>
              </w:rPr>
            </w:pPr>
            <w:r w:rsidRPr="004F47E3">
              <w:rPr>
                <w:rFonts w:eastAsia="Times New Roman" w:cs="Calibri"/>
                <w:color w:val="FFFFFF"/>
                <w:sz w:val="20"/>
                <w:szCs w:val="20"/>
                <w:lang w:val="sq-AL"/>
              </w:rPr>
              <w:t>OSSH MAR</w:t>
            </w:r>
          </w:p>
        </w:tc>
        <w:tc>
          <w:tcPr>
            <w:tcW w:w="992" w:type="dxa"/>
            <w:tcBorders>
              <w:top w:val="nil"/>
              <w:left w:val="single" w:sz="4" w:space="0" w:color="FFFFFF" w:themeColor="background1"/>
              <w:right w:val="single" w:sz="4" w:space="0" w:color="FFFFFF" w:themeColor="background1"/>
            </w:tcBorders>
            <w:shd w:val="clear" w:color="auto" w:fill="244061" w:themeFill="accent1" w:themeFillShade="80"/>
            <w:vAlign w:val="center"/>
          </w:tcPr>
          <w:p w14:paraId="3BCC74B9" w14:textId="6234DE07" w:rsidR="00E25993" w:rsidRPr="004F47E3" w:rsidRDefault="00CB1BB9" w:rsidP="00966ECD">
            <w:pPr>
              <w:spacing w:after="0" w:line="240" w:lineRule="auto"/>
              <w:jc w:val="center"/>
              <w:rPr>
                <w:rFonts w:eastAsia="Times New Roman" w:cs="Calibri"/>
                <w:color w:val="FFFFFF"/>
                <w:sz w:val="20"/>
                <w:szCs w:val="20"/>
                <w:lang w:val="sq-AL"/>
              </w:rPr>
            </w:pPr>
            <w:r>
              <w:rPr>
                <w:rFonts w:eastAsia="Times New Roman" w:cs="Calibri"/>
                <w:color w:val="FFFFFF"/>
                <w:sz w:val="20"/>
                <w:szCs w:val="20"/>
                <w:lang w:val="sq-AL"/>
              </w:rPr>
              <w:t>Jedinica</w:t>
            </w:r>
          </w:p>
        </w:tc>
        <w:tc>
          <w:tcPr>
            <w:tcW w:w="1055" w:type="dxa"/>
            <w:tcBorders>
              <w:top w:val="nil"/>
              <w:left w:val="single" w:sz="4" w:space="0" w:color="FFFFFF" w:themeColor="background1"/>
              <w:right w:val="single" w:sz="4" w:space="0" w:color="FFFFFF" w:themeColor="background1"/>
            </w:tcBorders>
            <w:shd w:val="clear" w:color="auto" w:fill="244061" w:themeFill="accent1" w:themeFillShade="80"/>
            <w:vAlign w:val="center"/>
            <w:hideMark/>
          </w:tcPr>
          <w:p w14:paraId="712D88FE" w14:textId="4D348A87" w:rsidR="00E25993" w:rsidRPr="00CB1BB9" w:rsidRDefault="00CB1BB9" w:rsidP="00966ECD">
            <w:pPr>
              <w:spacing w:after="0" w:line="240" w:lineRule="auto"/>
              <w:jc w:val="center"/>
              <w:rPr>
                <w:rFonts w:eastAsia="Times New Roman" w:cs="Calibri"/>
                <w:color w:val="FFFFFF"/>
                <w:sz w:val="20"/>
                <w:szCs w:val="20"/>
                <w:lang w:val="sq-AL"/>
              </w:rPr>
            </w:pPr>
            <w:r w:rsidRPr="00CB1BB9">
              <w:rPr>
                <w:sz w:val="20"/>
                <w:szCs w:val="20"/>
              </w:rPr>
              <w:t>Dozvoljena</w:t>
            </w:r>
          </w:p>
          <w:p w14:paraId="7AED6BBC" w14:textId="77777777" w:rsidR="00E25993" w:rsidRPr="004F47E3" w:rsidRDefault="00E25993" w:rsidP="004F47E3">
            <w:pPr>
              <w:spacing w:after="0" w:line="240" w:lineRule="auto"/>
              <w:jc w:val="center"/>
              <w:rPr>
                <w:rFonts w:eastAsia="Times New Roman" w:cs="Calibri"/>
                <w:color w:val="FFFFFF"/>
                <w:sz w:val="20"/>
                <w:szCs w:val="20"/>
                <w:lang w:val="sq-AL"/>
              </w:rPr>
            </w:pPr>
            <w:r w:rsidRPr="00CB1BB9">
              <w:rPr>
                <w:rFonts w:eastAsia="Times New Roman" w:cs="Calibri"/>
                <w:color w:val="FFFFFF"/>
                <w:sz w:val="20"/>
                <w:szCs w:val="20"/>
                <w:lang w:val="sq-AL"/>
              </w:rPr>
              <w:t>20</w:t>
            </w:r>
            <w:r w:rsidR="004F47E3" w:rsidRPr="00CB1BB9">
              <w:rPr>
                <w:rFonts w:eastAsia="Times New Roman" w:cs="Calibri"/>
                <w:color w:val="FFFFFF"/>
                <w:sz w:val="20"/>
                <w:szCs w:val="20"/>
                <w:lang w:val="sq-AL"/>
              </w:rPr>
              <w:t>20</w:t>
            </w:r>
          </w:p>
        </w:tc>
        <w:tc>
          <w:tcPr>
            <w:tcW w:w="1114" w:type="dxa"/>
            <w:tcBorders>
              <w:top w:val="nil"/>
              <w:left w:val="single" w:sz="4" w:space="0" w:color="FFFFFF" w:themeColor="background1"/>
              <w:right w:val="nil"/>
            </w:tcBorders>
            <w:shd w:val="clear" w:color="auto" w:fill="244061" w:themeFill="accent1" w:themeFillShade="80"/>
            <w:vAlign w:val="center"/>
            <w:hideMark/>
          </w:tcPr>
          <w:p w14:paraId="014B080E" w14:textId="67944310" w:rsidR="00E25993" w:rsidRPr="00CB1BB9" w:rsidRDefault="00CB1BB9" w:rsidP="00966ECD">
            <w:pPr>
              <w:spacing w:after="0" w:line="240" w:lineRule="auto"/>
              <w:jc w:val="center"/>
              <w:rPr>
                <w:rFonts w:eastAsia="Times New Roman" w:cs="Calibri"/>
                <w:color w:val="FFFFFF"/>
                <w:sz w:val="20"/>
                <w:szCs w:val="20"/>
                <w:lang w:val="sq-AL"/>
              </w:rPr>
            </w:pPr>
            <w:r w:rsidRPr="00CB1BB9">
              <w:rPr>
                <w:sz w:val="20"/>
                <w:szCs w:val="20"/>
              </w:rPr>
              <w:t>Ostvarena</w:t>
            </w:r>
          </w:p>
          <w:p w14:paraId="3680C532" w14:textId="77777777" w:rsidR="00E25993" w:rsidRPr="004F47E3" w:rsidRDefault="00E25993" w:rsidP="004F47E3">
            <w:pPr>
              <w:spacing w:after="0" w:line="240" w:lineRule="auto"/>
              <w:jc w:val="center"/>
              <w:rPr>
                <w:rFonts w:eastAsia="Times New Roman" w:cs="Calibri"/>
                <w:color w:val="FFFFFF"/>
                <w:sz w:val="20"/>
                <w:szCs w:val="20"/>
                <w:lang w:val="sq-AL"/>
              </w:rPr>
            </w:pPr>
            <w:r w:rsidRPr="00CB1BB9">
              <w:rPr>
                <w:rFonts w:eastAsia="Times New Roman" w:cs="Calibri"/>
                <w:color w:val="FFFFFF"/>
                <w:sz w:val="20"/>
                <w:szCs w:val="20"/>
                <w:lang w:val="sq-AL"/>
              </w:rPr>
              <w:t>20</w:t>
            </w:r>
            <w:r w:rsidR="004F47E3" w:rsidRPr="00CB1BB9">
              <w:rPr>
                <w:rFonts w:eastAsia="Times New Roman" w:cs="Calibri"/>
                <w:color w:val="FFFFFF"/>
                <w:sz w:val="20"/>
                <w:szCs w:val="20"/>
                <w:lang w:val="sq-AL"/>
              </w:rPr>
              <w:t>20</w:t>
            </w:r>
          </w:p>
        </w:tc>
        <w:tc>
          <w:tcPr>
            <w:tcW w:w="1269" w:type="dxa"/>
            <w:tcBorders>
              <w:top w:val="nil"/>
              <w:left w:val="single" w:sz="4" w:space="0" w:color="FFFFFF" w:themeColor="background1"/>
              <w:right w:val="nil"/>
            </w:tcBorders>
            <w:shd w:val="clear" w:color="auto" w:fill="244061" w:themeFill="accent1" w:themeFillShade="80"/>
            <w:vAlign w:val="center"/>
          </w:tcPr>
          <w:p w14:paraId="0519ED47" w14:textId="79799DCD" w:rsidR="00E25993" w:rsidRPr="00CB1BB9" w:rsidRDefault="00CB1BB9" w:rsidP="008C5359">
            <w:pPr>
              <w:spacing w:after="0" w:line="240" w:lineRule="auto"/>
              <w:rPr>
                <w:rFonts w:eastAsia="Times New Roman" w:cs="Calibri"/>
                <w:color w:val="FFFFFF"/>
                <w:sz w:val="20"/>
                <w:szCs w:val="20"/>
                <w:lang w:val="sq-AL"/>
              </w:rPr>
            </w:pPr>
            <w:r w:rsidRPr="00CB1BB9">
              <w:rPr>
                <w:sz w:val="20"/>
                <w:szCs w:val="20"/>
              </w:rPr>
              <w:t>Predložena</w:t>
            </w:r>
            <w:r w:rsidR="00E25993" w:rsidRPr="00CB1BB9">
              <w:rPr>
                <w:rFonts w:eastAsia="Times New Roman" w:cs="Calibri"/>
                <w:color w:val="FFFFFF"/>
                <w:sz w:val="20"/>
                <w:szCs w:val="20"/>
                <w:lang w:val="sq-AL"/>
              </w:rPr>
              <w:t xml:space="preserve"> </w:t>
            </w:r>
          </w:p>
          <w:p w14:paraId="4EB08121" w14:textId="77777777" w:rsidR="00E25993" w:rsidRPr="004F47E3" w:rsidRDefault="00E25993" w:rsidP="004F47E3">
            <w:pPr>
              <w:spacing w:after="0" w:line="240" w:lineRule="auto"/>
              <w:jc w:val="center"/>
              <w:rPr>
                <w:rFonts w:eastAsia="Times New Roman" w:cs="Calibri"/>
                <w:color w:val="FFFFFF"/>
                <w:sz w:val="20"/>
                <w:szCs w:val="20"/>
                <w:lang w:val="sq-AL"/>
              </w:rPr>
            </w:pPr>
            <w:r w:rsidRPr="00CB1BB9">
              <w:rPr>
                <w:rFonts w:eastAsia="Times New Roman" w:cs="Calibri"/>
                <w:color w:val="FFFFFF"/>
                <w:sz w:val="20"/>
                <w:szCs w:val="20"/>
                <w:lang w:val="sq-AL"/>
              </w:rPr>
              <w:t>20</w:t>
            </w:r>
            <w:r w:rsidR="005C780F" w:rsidRPr="00CB1BB9">
              <w:rPr>
                <w:rFonts w:eastAsia="Times New Roman" w:cs="Calibri"/>
                <w:color w:val="FFFFFF"/>
                <w:sz w:val="20"/>
                <w:szCs w:val="20"/>
                <w:lang w:val="sq-AL"/>
              </w:rPr>
              <w:t>2</w:t>
            </w:r>
            <w:r w:rsidR="004F47E3" w:rsidRPr="00CB1BB9">
              <w:rPr>
                <w:rFonts w:eastAsia="Times New Roman" w:cs="Calibri"/>
                <w:color w:val="FFFFFF"/>
                <w:sz w:val="20"/>
                <w:szCs w:val="20"/>
                <w:lang w:val="sq-AL"/>
              </w:rPr>
              <w:t>1</w:t>
            </w:r>
          </w:p>
        </w:tc>
      </w:tr>
      <w:tr w:rsidR="00E25993" w:rsidRPr="004F47E3" w14:paraId="6955A9C3" w14:textId="77777777" w:rsidTr="0030134E">
        <w:trPr>
          <w:trHeight w:val="300"/>
          <w:jc w:val="center"/>
        </w:trPr>
        <w:tc>
          <w:tcPr>
            <w:tcW w:w="3544"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699DB572" w14:textId="7C07E8F2" w:rsidR="00E25993" w:rsidRPr="00CB1BB9" w:rsidRDefault="00CB1BB9" w:rsidP="00966ECD">
            <w:pPr>
              <w:spacing w:after="0" w:line="240" w:lineRule="auto"/>
              <w:rPr>
                <w:rFonts w:eastAsia="Times New Roman" w:cs="Calibri"/>
                <w:b/>
                <w:bCs/>
                <w:sz w:val="20"/>
                <w:szCs w:val="20"/>
                <w:lang w:val="sq-AL"/>
              </w:rPr>
            </w:pPr>
            <w:r w:rsidRPr="00CB1BB9">
              <w:rPr>
                <w:b/>
              </w:rPr>
              <w:t>Parametar indeksije</w:t>
            </w: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000000" w:fill="DBE5F1"/>
          </w:tcPr>
          <w:p w14:paraId="6246D292" w14:textId="77777777" w:rsidR="00E25993" w:rsidRPr="004F47E3" w:rsidRDefault="00E25993" w:rsidP="00966ECD">
            <w:pPr>
              <w:spacing w:after="0" w:line="240" w:lineRule="auto"/>
              <w:rPr>
                <w:rFonts w:eastAsia="Times New Roman" w:cs="Calibri"/>
                <w:b/>
                <w:bCs/>
                <w:sz w:val="20"/>
                <w:szCs w:val="20"/>
                <w:lang w:val="sq-AL"/>
              </w:rPr>
            </w:pPr>
          </w:p>
        </w:tc>
        <w:tc>
          <w:tcPr>
            <w:tcW w:w="1055"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5209040E"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 </w:t>
            </w:r>
          </w:p>
        </w:tc>
        <w:tc>
          <w:tcPr>
            <w:tcW w:w="1114"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3EED5ED5"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 </w:t>
            </w:r>
          </w:p>
        </w:tc>
        <w:tc>
          <w:tcPr>
            <w:tcW w:w="1269" w:type="dxa"/>
            <w:tcBorders>
              <w:left w:val="single" w:sz="4" w:space="0" w:color="FFFFFF" w:themeColor="background1"/>
              <w:bottom w:val="single" w:sz="4" w:space="0" w:color="FFFFFF" w:themeColor="background1"/>
              <w:right w:val="single" w:sz="4" w:space="0" w:color="FFFFFF" w:themeColor="background1"/>
            </w:tcBorders>
            <w:shd w:val="clear" w:color="000000" w:fill="DBE5F1"/>
          </w:tcPr>
          <w:p w14:paraId="335BF1BD" w14:textId="77777777" w:rsidR="00E25993" w:rsidRPr="004F47E3" w:rsidRDefault="00E25993" w:rsidP="00966ECD">
            <w:pPr>
              <w:spacing w:after="0" w:line="240" w:lineRule="auto"/>
              <w:rPr>
                <w:rFonts w:eastAsia="Times New Roman" w:cs="Calibri"/>
                <w:b/>
                <w:bCs/>
                <w:sz w:val="20"/>
                <w:szCs w:val="20"/>
                <w:lang w:val="sq-AL"/>
              </w:rPr>
            </w:pPr>
          </w:p>
        </w:tc>
      </w:tr>
      <w:tr w:rsidR="00E25993" w:rsidRPr="004F47E3" w14:paraId="04648550" w14:textId="77777777" w:rsidTr="0030134E">
        <w:trPr>
          <w:trHeight w:val="30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65E9055" w14:textId="77777777" w:rsidR="00E25993" w:rsidRPr="004F47E3" w:rsidRDefault="00E25993" w:rsidP="00966ECD">
            <w:pPr>
              <w:spacing w:after="0" w:line="240" w:lineRule="auto"/>
              <w:rPr>
                <w:rFonts w:eastAsia="Times New Roman" w:cs="Calibri"/>
                <w:sz w:val="20"/>
                <w:szCs w:val="20"/>
                <w:lang w:val="sq-AL"/>
              </w:rPr>
            </w:pPr>
            <w:r w:rsidRPr="004F47E3">
              <w:rPr>
                <w:rFonts w:eastAsia="Times New Roman" w:cs="Calibri"/>
                <w:sz w:val="20"/>
                <w:szCs w:val="20"/>
                <w:lang w:val="sq-AL"/>
              </w:rPr>
              <w:t>It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tcPr>
          <w:p w14:paraId="44D3D556" w14:textId="77777777" w:rsidR="00E25993" w:rsidRPr="004F47E3" w:rsidRDefault="00E25993" w:rsidP="00966ECD">
            <w:pPr>
              <w:spacing w:after="0" w:line="240" w:lineRule="auto"/>
              <w:jc w:val="center"/>
              <w:rPr>
                <w:rFonts w:eastAsia="Times New Roman" w:cs="Calibri"/>
                <w:sz w:val="20"/>
                <w:szCs w:val="20"/>
                <w:lang w:val="sq-AL"/>
              </w:rPr>
            </w:pPr>
            <w:r w:rsidRPr="004F47E3">
              <w:rPr>
                <w:rFonts w:eastAsia="Times New Roman" w:cs="Calibri"/>
                <w:sz w:val="20"/>
                <w:szCs w:val="20"/>
                <w:lang w:val="sq-AL"/>
              </w:rPr>
              <w:t>%</w:t>
            </w: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vAlign w:val="center"/>
            <w:hideMark/>
          </w:tcPr>
          <w:p w14:paraId="0DAC1086" w14:textId="77777777" w:rsidR="00E25993" w:rsidRPr="004F47E3" w:rsidRDefault="00E25993" w:rsidP="00966ECD">
            <w:pPr>
              <w:spacing w:after="0" w:line="240" w:lineRule="auto"/>
              <w:jc w:val="right"/>
              <w:rPr>
                <w:rFonts w:eastAsia="Times New Roman" w:cs="Calibri"/>
                <w:sz w:val="20"/>
                <w:szCs w:val="20"/>
                <w:lang w:val="sq-AL"/>
              </w:rPr>
            </w:pPr>
          </w:p>
        </w:tc>
        <w:tc>
          <w:tcPr>
            <w:tcW w:w="1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vAlign w:val="center"/>
            <w:hideMark/>
          </w:tcPr>
          <w:p w14:paraId="1D0294B6" w14:textId="77777777" w:rsidR="00E25993" w:rsidRPr="004F47E3" w:rsidRDefault="005C780F" w:rsidP="005C780F">
            <w:pPr>
              <w:spacing w:after="0" w:line="240" w:lineRule="auto"/>
              <w:jc w:val="right"/>
              <w:rPr>
                <w:rFonts w:eastAsia="Times New Roman" w:cs="Calibri"/>
                <w:sz w:val="20"/>
                <w:szCs w:val="20"/>
                <w:lang w:val="sq-AL"/>
              </w:rPr>
            </w:pPr>
            <w:r w:rsidRPr="004F47E3">
              <w:rPr>
                <w:rFonts w:eastAsia="Times New Roman" w:cs="Calibri"/>
                <w:sz w:val="20"/>
                <w:szCs w:val="20"/>
                <w:lang w:val="sq-AL"/>
              </w:rPr>
              <w:t>7.38</w:t>
            </w:r>
            <w:r w:rsidR="00E25993" w:rsidRPr="004F47E3">
              <w:rPr>
                <w:rFonts w:eastAsia="Times New Roman" w:cs="Calibri"/>
                <w:sz w:val="20"/>
                <w:szCs w:val="20"/>
                <w:lang w:val="sq-AL"/>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tcPr>
          <w:p w14:paraId="070FCE28" w14:textId="77777777" w:rsidR="00E25993" w:rsidRPr="004F47E3" w:rsidRDefault="00E25993" w:rsidP="00966ECD">
            <w:pPr>
              <w:spacing w:after="0" w:line="240" w:lineRule="auto"/>
              <w:jc w:val="right"/>
              <w:rPr>
                <w:rFonts w:eastAsia="Times New Roman" w:cs="Calibri"/>
                <w:sz w:val="20"/>
                <w:szCs w:val="20"/>
                <w:lang w:val="sq-AL"/>
              </w:rPr>
            </w:pPr>
          </w:p>
        </w:tc>
      </w:tr>
      <w:tr w:rsidR="00E25993" w:rsidRPr="004F47E3" w14:paraId="3DB76341" w14:textId="77777777" w:rsidTr="00EF4C2C">
        <w:trPr>
          <w:trHeight w:val="35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14:paraId="1F5B0B0E" w14:textId="564D9059" w:rsidR="00E25993" w:rsidRPr="004F47E3" w:rsidRDefault="00CB1BB9" w:rsidP="00966ECD">
            <w:pPr>
              <w:spacing w:after="0" w:line="240" w:lineRule="auto"/>
              <w:rPr>
                <w:rFonts w:eastAsia="Times New Roman" w:cs="Calibri"/>
                <w:b/>
                <w:bCs/>
                <w:sz w:val="20"/>
                <w:szCs w:val="20"/>
                <w:lang w:val="sq-AL"/>
              </w:rPr>
            </w:pPr>
            <w:r w:rsidRPr="00CB1BB9">
              <w:rPr>
                <w:b/>
                <w:sz w:val="20"/>
                <w:szCs w:val="20"/>
              </w:rPr>
              <w:t>Prilagođene potrošnje</w:t>
            </w:r>
            <w:r w:rsidR="00E25993" w:rsidRPr="004F47E3">
              <w:rPr>
                <w:rFonts w:eastAsia="Times New Roman" w:cs="Calibri"/>
                <w:b/>
                <w:bCs/>
                <w:sz w:val="20"/>
                <w:szCs w:val="20"/>
                <w:lang w:val="sq-AL"/>
              </w:rPr>
              <w:t xml:space="preserve">  (LSSCt)</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vAlign w:val="center"/>
          </w:tcPr>
          <w:p w14:paraId="02C3EC62" w14:textId="77777777" w:rsidR="00E25993" w:rsidRPr="004F47E3" w:rsidRDefault="00E25993" w:rsidP="00966ECD">
            <w:pPr>
              <w:spacing w:after="0" w:line="240" w:lineRule="auto"/>
              <w:rPr>
                <w:rFonts w:eastAsia="Times New Roman" w:cs="Calibri"/>
                <w:b/>
                <w:bCs/>
                <w:sz w:val="20"/>
                <w:szCs w:val="20"/>
                <w:lang w:val="sq-AL"/>
              </w:rPr>
            </w:pPr>
          </w:p>
        </w:tc>
        <w:tc>
          <w:tcPr>
            <w:tcW w:w="10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noWrap/>
            <w:vAlign w:val="center"/>
            <w:hideMark/>
          </w:tcPr>
          <w:p w14:paraId="31502C57" w14:textId="77777777" w:rsidR="00E25993" w:rsidRPr="004F47E3" w:rsidRDefault="00E25993" w:rsidP="00966ECD">
            <w:pPr>
              <w:spacing w:after="0" w:line="240" w:lineRule="auto"/>
              <w:jc w:val="right"/>
              <w:rPr>
                <w:rFonts w:eastAsia="Times New Roman" w:cs="Calibri"/>
                <w:b/>
                <w:bCs/>
                <w:sz w:val="20"/>
                <w:szCs w:val="20"/>
                <w:lang w:val="sq-AL"/>
              </w:rPr>
            </w:pPr>
            <w:r w:rsidRPr="004F47E3">
              <w:rPr>
                <w:rFonts w:eastAsia="Times New Roman" w:cs="Calibri"/>
                <w:b/>
                <w:bCs/>
                <w:sz w:val="20"/>
                <w:szCs w:val="20"/>
                <w:lang w:val="sq-AL"/>
              </w:rPr>
              <w:t> </w:t>
            </w:r>
          </w:p>
        </w:tc>
        <w:tc>
          <w:tcPr>
            <w:tcW w:w="11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noWrap/>
            <w:vAlign w:val="center"/>
            <w:hideMark/>
          </w:tcPr>
          <w:p w14:paraId="6BC1DD0C" w14:textId="77777777" w:rsidR="00E25993" w:rsidRPr="004F47E3" w:rsidRDefault="00E25993" w:rsidP="00966ECD">
            <w:pPr>
              <w:spacing w:after="0" w:line="240" w:lineRule="auto"/>
              <w:jc w:val="right"/>
              <w:rPr>
                <w:rFonts w:eastAsia="Times New Roman" w:cs="Calibri"/>
                <w:b/>
                <w:bCs/>
                <w:sz w:val="20"/>
                <w:szCs w:val="20"/>
                <w:lang w:val="sq-AL"/>
              </w:rPr>
            </w:pPr>
            <w:r w:rsidRPr="004F47E3">
              <w:rPr>
                <w:rFonts w:eastAsia="Times New Roman" w:cs="Calibri"/>
                <w:b/>
                <w:bCs/>
                <w:sz w:val="20"/>
                <w:szCs w:val="20"/>
                <w:lang w:val="sq-AL"/>
              </w:rPr>
              <w:t> </w:t>
            </w:r>
          </w:p>
        </w:tc>
        <w:tc>
          <w:tcPr>
            <w:tcW w:w="12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vAlign w:val="center"/>
          </w:tcPr>
          <w:p w14:paraId="074A053B" w14:textId="77777777" w:rsidR="00E25993" w:rsidRPr="004F47E3" w:rsidRDefault="00E25993" w:rsidP="00966ECD">
            <w:pPr>
              <w:spacing w:after="0" w:line="240" w:lineRule="auto"/>
              <w:jc w:val="right"/>
              <w:rPr>
                <w:rFonts w:eastAsia="Times New Roman" w:cs="Calibri"/>
                <w:b/>
                <w:bCs/>
                <w:sz w:val="20"/>
                <w:szCs w:val="20"/>
                <w:lang w:val="sq-AL"/>
              </w:rPr>
            </w:pPr>
          </w:p>
        </w:tc>
      </w:tr>
      <w:tr w:rsidR="00E25993" w:rsidRPr="004F47E3" w14:paraId="391EAD5A" w14:textId="77777777" w:rsidTr="004F47E3">
        <w:trPr>
          <w:trHeight w:val="300"/>
          <w:jc w:val="center"/>
        </w:trPr>
        <w:tc>
          <w:tcPr>
            <w:tcW w:w="3544" w:type="dxa"/>
            <w:tcBorders>
              <w:top w:val="single" w:sz="4" w:space="0" w:color="FFFFFF" w:themeColor="background1"/>
              <w:left w:val="nil"/>
              <w:bottom w:val="nil"/>
              <w:right w:val="single" w:sz="4" w:space="0" w:color="auto"/>
            </w:tcBorders>
            <w:shd w:val="clear" w:color="000000" w:fill="FFFFFF"/>
            <w:noWrap/>
            <w:vAlign w:val="center"/>
            <w:hideMark/>
          </w:tcPr>
          <w:p w14:paraId="3F677EA5" w14:textId="77777777" w:rsidR="00E25993" w:rsidRPr="004F47E3" w:rsidRDefault="00E25993" w:rsidP="00966ECD">
            <w:pPr>
              <w:spacing w:after="0" w:line="240" w:lineRule="auto"/>
              <w:rPr>
                <w:rFonts w:eastAsia="Times New Roman" w:cs="Calibri"/>
                <w:sz w:val="20"/>
                <w:szCs w:val="20"/>
                <w:lang w:val="sq-AL"/>
              </w:rPr>
            </w:pPr>
            <w:r w:rsidRPr="004F47E3">
              <w:rPr>
                <w:rFonts w:eastAsia="Times New Roman" w:cs="Calibri"/>
                <w:sz w:val="20"/>
                <w:szCs w:val="20"/>
                <w:lang w:val="sq-AL"/>
              </w:rPr>
              <w:t>LSSAt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72451B" w14:textId="77777777" w:rsidR="00E25993" w:rsidRPr="004F47E3" w:rsidRDefault="00E25993" w:rsidP="00966ECD">
            <w:pPr>
              <w:spacing w:after="0" w:line="240" w:lineRule="auto"/>
              <w:jc w:val="center"/>
              <w:rPr>
                <w:rFonts w:eastAsia="Times New Roman" w:cs="Calibri"/>
                <w:sz w:val="20"/>
                <w:szCs w:val="20"/>
                <w:lang w:val="sq-AL"/>
              </w:rPr>
            </w:pPr>
            <w:r w:rsidRPr="004F47E3">
              <w:rPr>
                <w:rFonts w:eastAsia="Times New Roman" w:cs="Calibri"/>
                <w:sz w:val="20"/>
                <w:szCs w:val="20"/>
                <w:lang w:val="sq-AL"/>
              </w:rPr>
              <w:t>%</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1C306"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17.6</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38916"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17.6</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001ED003"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16.4</w:t>
            </w:r>
          </w:p>
        </w:tc>
      </w:tr>
      <w:tr w:rsidR="004F47E3" w:rsidRPr="004F47E3" w14:paraId="5D6D4A25"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68ED1A41" w14:textId="77777777" w:rsidR="004F47E3" w:rsidRPr="004F47E3" w:rsidRDefault="004F47E3" w:rsidP="004F47E3">
            <w:pPr>
              <w:spacing w:after="0" w:line="240" w:lineRule="auto"/>
              <w:rPr>
                <w:rFonts w:eastAsia="Times New Roman" w:cs="Calibri"/>
                <w:sz w:val="20"/>
                <w:szCs w:val="20"/>
                <w:lang w:val="sq-AL"/>
              </w:rPr>
            </w:pPr>
            <w:r w:rsidRPr="004F47E3">
              <w:rPr>
                <w:rFonts w:eastAsia="Times New Roman" w:cs="Calibri"/>
                <w:sz w:val="20"/>
                <w:szCs w:val="20"/>
                <w:lang w:val="sq-AL"/>
              </w:rPr>
              <w:t>REUEt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151F8E"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GWh</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872AA" w14:textId="77777777" w:rsidR="004F47E3" w:rsidRPr="004F47E3" w:rsidRDefault="00A350E9" w:rsidP="00A350E9">
            <w:pPr>
              <w:spacing w:after="0" w:line="240" w:lineRule="auto"/>
              <w:jc w:val="right"/>
              <w:rPr>
                <w:rFonts w:eastAsia="Times New Roman" w:cs="Calibri"/>
                <w:sz w:val="20"/>
                <w:szCs w:val="20"/>
                <w:lang w:val="sq-AL"/>
              </w:rPr>
            </w:pPr>
            <w:r w:rsidRPr="004F47E3">
              <w:rPr>
                <w:rFonts w:eastAsia="Times New Roman" w:cs="Calibri"/>
                <w:sz w:val="20"/>
                <w:szCs w:val="20"/>
                <w:lang w:val="sq-AL"/>
              </w:rPr>
              <w:t>5,41</w:t>
            </w:r>
            <w:r>
              <w:rPr>
                <w:rFonts w:eastAsia="Times New Roman" w:cs="Calibri"/>
                <w:sz w:val="20"/>
                <w:szCs w:val="20"/>
                <w:lang w:val="sq-AL"/>
              </w:rPr>
              <w:t>4</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3A2C6" w14:textId="77777777" w:rsidR="004F47E3" w:rsidRPr="004F47E3" w:rsidRDefault="004F47E3" w:rsidP="00A350E9">
            <w:pPr>
              <w:spacing w:after="0" w:line="240" w:lineRule="auto"/>
              <w:jc w:val="right"/>
              <w:rPr>
                <w:rFonts w:eastAsia="Times New Roman" w:cs="Calibri"/>
                <w:sz w:val="20"/>
                <w:szCs w:val="20"/>
                <w:lang w:val="sq-AL"/>
              </w:rPr>
            </w:pPr>
            <w:r w:rsidRPr="004F47E3">
              <w:rPr>
                <w:rFonts w:eastAsia="Times New Roman" w:cs="Calibri"/>
                <w:sz w:val="20"/>
                <w:szCs w:val="20"/>
                <w:lang w:val="sq-AL"/>
              </w:rPr>
              <w:t>5,</w:t>
            </w:r>
            <w:r w:rsidR="00A350E9">
              <w:rPr>
                <w:rFonts w:eastAsia="Times New Roman" w:cs="Calibri"/>
                <w:sz w:val="20"/>
                <w:szCs w:val="20"/>
                <w:lang w:val="sq-AL"/>
              </w:rPr>
              <w:t>549</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6488568D" w14:textId="77777777" w:rsidR="004F47E3" w:rsidRPr="004F47E3" w:rsidRDefault="004F47E3" w:rsidP="004F47E3">
            <w:pPr>
              <w:spacing w:after="0" w:line="240" w:lineRule="auto"/>
              <w:jc w:val="right"/>
              <w:rPr>
                <w:rFonts w:eastAsia="Times New Roman" w:cs="Calibri"/>
                <w:sz w:val="20"/>
                <w:szCs w:val="20"/>
                <w:lang w:val="sq-AL"/>
              </w:rPr>
            </w:pPr>
            <w:r>
              <w:rPr>
                <w:rFonts w:eastAsia="Times New Roman" w:cs="Calibri"/>
                <w:sz w:val="20"/>
                <w:szCs w:val="20"/>
                <w:lang w:val="sq-AL"/>
              </w:rPr>
              <w:t>5,451.6</w:t>
            </w:r>
          </w:p>
        </w:tc>
      </w:tr>
      <w:tr w:rsidR="004F47E3" w:rsidRPr="004F47E3" w14:paraId="0DA5BE07"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44C24F00" w14:textId="77777777" w:rsidR="004F47E3" w:rsidRPr="004F47E3" w:rsidRDefault="004F47E3" w:rsidP="004F47E3">
            <w:pPr>
              <w:spacing w:after="0" w:line="240" w:lineRule="auto"/>
              <w:rPr>
                <w:rFonts w:eastAsia="Times New Roman" w:cs="Calibri"/>
                <w:sz w:val="20"/>
                <w:szCs w:val="20"/>
                <w:lang w:val="sq-AL"/>
              </w:rPr>
            </w:pPr>
            <w:r w:rsidRPr="004F47E3">
              <w:rPr>
                <w:rFonts w:eastAsia="Times New Roman" w:cs="Calibri"/>
                <w:sz w:val="20"/>
                <w:szCs w:val="20"/>
                <w:lang w:val="sq-AL"/>
              </w:rPr>
              <w:t>WHEAt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5D7981"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€/MWh</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0B4725" w14:textId="77777777" w:rsidR="004F47E3" w:rsidRPr="004F47E3" w:rsidRDefault="00A350E9" w:rsidP="004F47E3">
            <w:pPr>
              <w:spacing w:after="0" w:line="240" w:lineRule="auto"/>
              <w:jc w:val="right"/>
              <w:rPr>
                <w:rFonts w:eastAsia="Times New Roman" w:cs="Calibri"/>
                <w:sz w:val="20"/>
                <w:szCs w:val="20"/>
                <w:lang w:val="sq-AL"/>
              </w:rPr>
            </w:pPr>
            <w:r w:rsidRPr="004F47E3">
              <w:rPr>
                <w:rFonts w:eastAsia="Times New Roman" w:cs="Calibri"/>
                <w:sz w:val="20"/>
                <w:szCs w:val="20"/>
                <w:lang w:val="sq-AL"/>
              </w:rPr>
              <w:t>49.19</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B524E4" w14:textId="77777777" w:rsidR="004F47E3" w:rsidRPr="004F47E3" w:rsidRDefault="00A350E9" w:rsidP="004F47E3">
            <w:pPr>
              <w:spacing w:after="0" w:line="240" w:lineRule="auto"/>
              <w:jc w:val="right"/>
              <w:rPr>
                <w:rFonts w:eastAsia="Times New Roman" w:cs="Calibri"/>
                <w:sz w:val="20"/>
                <w:szCs w:val="20"/>
                <w:lang w:val="sq-AL"/>
              </w:rPr>
            </w:pPr>
            <w:r>
              <w:rPr>
                <w:rFonts w:eastAsia="Times New Roman" w:cs="Calibri"/>
                <w:sz w:val="20"/>
                <w:szCs w:val="20"/>
                <w:lang w:val="sq-AL"/>
              </w:rPr>
              <w:t>42.57</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65551F7C" w14:textId="77777777" w:rsidR="004F47E3" w:rsidRPr="004F47E3" w:rsidRDefault="004F47E3" w:rsidP="004F47E3">
            <w:pPr>
              <w:spacing w:after="0" w:line="240" w:lineRule="auto"/>
              <w:jc w:val="right"/>
              <w:rPr>
                <w:rFonts w:eastAsia="Times New Roman" w:cs="Calibri"/>
                <w:sz w:val="20"/>
                <w:szCs w:val="20"/>
                <w:lang w:val="sq-AL"/>
              </w:rPr>
            </w:pPr>
            <w:r>
              <w:rPr>
                <w:rFonts w:eastAsia="Times New Roman" w:cs="Calibri"/>
                <w:sz w:val="20"/>
                <w:szCs w:val="20"/>
                <w:lang w:val="sq-AL"/>
              </w:rPr>
              <w:t>46.05</w:t>
            </w:r>
          </w:p>
        </w:tc>
      </w:tr>
      <w:tr w:rsidR="004F47E3" w:rsidRPr="004F47E3" w14:paraId="539A706F"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2A77CE30" w14:textId="77777777" w:rsidR="004F47E3" w:rsidRPr="004F47E3" w:rsidRDefault="004F47E3" w:rsidP="004F47E3">
            <w:pPr>
              <w:spacing w:after="0" w:line="240" w:lineRule="auto"/>
              <w:rPr>
                <w:rFonts w:eastAsia="Times New Roman" w:cs="Calibri"/>
                <w:color w:val="000000"/>
                <w:sz w:val="20"/>
                <w:szCs w:val="20"/>
                <w:lang w:val="sq-AL"/>
              </w:rPr>
            </w:pPr>
            <w:r w:rsidRPr="004F47E3">
              <w:rPr>
                <w:rFonts w:eastAsia="Times New Roman" w:cs="Calibri"/>
                <w:color w:val="000000"/>
                <w:sz w:val="20"/>
                <w:szCs w:val="20"/>
                <w:lang w:val="sq-AL"/>
              </w:rPr>
              <w:t>LSSCat-1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2DD164"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C6CDE1" w14:textId="77777777" w:rsidR="004F47E3" w:rsidRPr="004F47E3" w:rsidRDefault="004F47E3" w:rsidP="004F47E3">
            <w:pPr>
              <w:spacing w:after="0" w:line="240" w:lineRule="auto"/>
              <w:jc w:val="center"/>
              <w:rPr>
                <w:rFonts w:eastAsia="Times New Roman" w:cs="Calibri"/>
                <w:sz w:val="20"/>
                <w:szCs w:val="20"/>
                <w:lang w:val="sq-AL"/>
              </w:rPr>
            </w:pP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527CD" w14:textId="77777777" w:rsidR="004F47E3" w:rsidRPr="004F47E3" w:rsidRDefault="00A350E9" w:rsidP="00A350E9">
            <w:pPr>
              <w:spacing w:after="0" w:line="240" w:lineRule="auto"/>
              <w:jc w:val="right"/>
              <w:rPr>
                <w:rFonts w:eastAsia="Times New Roman" w:cs="Calibri"/>
                <w:b/>
                <w:bCs/>
                <w:sz w:val="20"/>
                <w:szCs w:val="20"/>
                <w:lang w:val="sq-AL"/>
              </w:rPr>
            </w:pPr>
            <w:r>
              <w:rPr>
                <w:rFonts w:eastAsia="Times New Roman" w:cs="Calibri"/>
                <w:b/>
                <w:bCs/>
                <w:sz w:val="20"/>
                <w:szCs w:val="20"/>
                <w:lang w:val="sq-AL"/>
              </w:rPr>
              <w:t>41.58</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0A64AF01" w14:textId="77777777" w:rsidR="004F47E3" w:rsidRPr="004F47E3" w:rsidRDefault="004F47E3" w:rsidP="004F47E3">
            <w:pPr>
              <w:spacing w:after="0" w:line="240" w:lineRule="auto"/>
              <w:jc w:val="center"/>
              <w:rPr>
                <w:rFonts w:eastAsia="Times New Roman" w:cs="Calibri"/>
                <w:b/>
                <w:bCs/>
                <w:sz w:val="20"/>
                <w:szCs w:val="20"/>
                <w:lang w:val="sq-AL"/>
              </w:rPr>
            </w:pPr>
          </w:p>
        </w:tc>
      </w:tr>
      <w:tr w:rsidR="004F47E3" w:rsidRPr="004F47E3" w14:paraId="41ED60CE" w14:textId="77777777" w:rsidTr="004F47E3">
        <w:trPr>
          <w:trHeight w:val="300"/>
          <w:jc w:val="center"/>
        </w:trPr>
        <w:tc>
          <w:tcPr>
            <w:tcW w:w="3544" w:type="dxa"/>
            <w:tcBorders>
              <w:top w:val="nil"/>
              <w:left w:val="nil"/>
              <w:bottom w:val="single" w:sz="4" w:space="0" w:color="FFFFFF" w:themeColor="background1"/>
              <w:right w:val="single" w:sz="4" w:space="0" w:color="auto"/>
            </w:tcBorders>
            <w:shd w:val="clear" w:color="000000" w:fill="FFFFFF"/>
            <w:noWrap/>
            <w:vAlign w:val="center"/>
            <w:hideMark/>
          </w:tcPr>
          <w:p w14:paraId="66D83F91" w14:textId="77777777" w:rsidR="004F47E3" w:rsidRPr="004F47E3" w:rsidRDefault="004F47E3" w:rsidP="004F47E3">
            <w:pPr>
              <w:spacing w:after="0" w:line="240" w:lineRule="auto"/>
              <w:rPr>
                <w:rFonts w:eastAsia="Times New Roman" w:cs="Calibri"/>
                <w:color w:val="000000"/>
                <w:sz w:val="20"/>
                <w:szCs w:val="20"/>
                <w:lang w:val="sq-AL"/>
              </w:rPr>
            </w:pPr>
            <w:r w:rsidRPr="004F47E3">
              <w:rPr>
                <w:rFonts w:eastAsia="Times New Roman" w:cs="Calibri"/>
                <w:color w:val="000000"/>
                <w:sz w:val="20"/>
                <w:szCs w:val="20"/>
                <w:lang w:val="sq-AL"/>
              </w:rPr>
              <w:t>LSSCft-1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0B9770"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BD5D89" w14:textId="77777777" w:rsidR="004F47E3" w:rsidRPr="004F47E3" w:rsidRDefault="00A350E9" w:rsidP="00A350E9">
            <w:pPr>
              <w:spacing w:after="0" w:line="240" w:lineRule="auto"/>
              <w:jc w:val="right"/>
              <w:rPr>
                <w:rFonts w:eastAsia="Times New Roman" w:cs="Calibri"/>
                <w:sz w:val="20"/>
                <w:szCs w:val="20"/>
                <w:lang w:val="sq-AL"/>
              </w:rPr>
            </w:pPr>
            <w:r w:rsidRPr="004F47E3">
              <w:rPr>
                <w:rFonts w:eastAsia="Times New Roman" w:cs="Calibri"/>
                <w:b/>
                <w:sz w:val="20"/>
                <w:szCs w:val="20"/>
                <w:lang w:val="sq-AL"/>
              </w:rPr>
              <w:t>46.8</w:t>
            </w:r>
            <w:r>
              <w:rPr>
                <w:rFonts w:eastAsia="Times New Roman" w:cs="Calibri"/>
                <w:b/>
                <w:sz w:val="20"/>
                <w:szCs w:val="20"/>
                <w:lang w:val="sq-AL"/>
              </w:rPr>
              <w:t>8</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BA0CEF" w14:textId="77777777" w:rsidR="004F47E3" w:rsidRPr="004F47E3" w:rsidRDefault="004F47E3" w:rsidP="00A350E9">
            <w:pPr>
              <w:spacing w:after="0" w:line="240" w:lineRule="auto"/>
              <w:jc w:val="center"/>
              <w:rPr>
                <w:rFonts w:eastAsia="Times New Roman" w:cs="Calibri"/>
                <w:b/>
                <w:sz w:val="20"/>
                <w:szCs w:val="20"/>
                <w:lang w:val="sq-AL"/>
              </w:rPr>
            </w:pP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4F8F278E" w14:textId="77777777" w:rsidR="004F47E3" w:rsidRPr="004F47E3" w:rsidRDefault="00A350E9" w:rsidP="004F47E3">
            <w:pPr>
              <w:spacing w:after="0" w:line="240" w:lineRule="auto"/>
              <w:jc w:val="right"/>
              <w:rPr>
                <w:rFonts w:eastAsia="Times New Roman" w:cs="Calibri"/>
                <w:b/>
                <w:sz w:val="20"/>
                <w:szCs w:val="20"/>
                <w:lang w:val="sq-AL"/>
              </w:rPr>
            </w:pPr>
            <w:r>
              <w:rPr>
                <w:rFonts w:eastAsia="Times New Roman" w:cs="Calibri"/>
                <w:b/>
                <w:sz w:val="20"/>
                <w:szCs w:val="20"/>
                <w:lang w:val="sq-AL"/>
              </w:rPr>
              <w:t>41.17</w:t>
            </w:r>
          </w:p>
        </w:tc>
      </w:tr>
      <w:tr w:rsidR="004F47E3" w:rsidRPr="0050005A" w14:paraId="40C5390D" w14:textId="77777777" w:rsidTr="00EF4C2C">
        <w:trPr>
          <w:trHeight w:val="30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4AA7A018" w14:textId="00870958" w:rsidR="004F47E3" w:rsidRPr="004F47E3" w:rsidRDefault="00CB1BB9" w:rsidP="004F47E3">
            <w:pPr>
              <w:spacing w:after="0" w:line="240" w:lineRule="auto"/>
              <w:rPr>
                <w:rFonts w:eastAsia="Times New Roman" w:cs="Calibri"/>
                <w:b/>
                <w:bCs/>
                <w:sz w:val="20"/>
                <w:szCs w:val="20"/>
                <w:lang w:val="sq-AL"/>
              </w:rPr>
            </w:pPr>
            <w:r w:rsidRPr="00CB1BB9">
              <w:rPr>
                <w:b/>
                <w:sz w:val="20"/>
                <w:szCs w:val="20"/>
              </w:rPr>
              <w:t>Prilagođene potrošnje</w:t>
            </w:r>
            <w:r w:rsidR="004F47E3" w:rsidRPr="004F47E3">
              <w:rPr>
                <w:rStyle w:val="FootnoteReference"/>
                <w:rFonts w:eastAsia="Times New Roman" w:cs="Calibri"/>
                <w:b/>
                <w:bCs/>
                <w:sz w:val="20"/>
                <w:szCs w:val="20"/>
                <w:lang w:val="sq-AL"/>
              </w:rPr>
              <w:footnoteReference w:id="3"/>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1BB589B8" w14:textId="77777777" w:rsidR="004F47E3" w:rsidRPr="004F47E3" w:rsidRDefault="004F47E3" w:rsidP="004F47E3">
            <w:pPr>
              <w:spacing w:after="0" w:line="240" w:lineRule="auto"/>
              <w:jc w:val="center"/>
              <w:rPr>
                <w:rFonts w:eastAsia="Times New Roman" w:cs="Calibri"/>
                <w:b/>
                <w:bCs/>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1E7118E2" w14:textId="77777777" w:rsidR="004F47E3" w:rsidRPr="004F47E3" w:rsidRDefault="004F47E3" w:rsidP="004F47E3">
            <w:pPr>
              <w:spacing w:after="0" w:line="240" w:lineRule="auto"/>
              <w:jc w:val="right"/>
              <w:rPr>
                <w:rFonts w:eastAsia="Times New Roman" w:cs="Calibri"/>
                <w:b/>
                <w:bCs/>
                <w:sz w:val="20"/>
                <w:szCs w:val="20"/>
                <w:lang w:val="sq-AL"/>
              </w:rPr>
            </w:pPr>
          </w:p>
        </w:tc>
        <w:tc>
          <w:tcPr>
            <w:tcW w:w="111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73D4630D" w14:textId="47D15375" w:rsidR="004F47E3" w:rsidRPr="0050005A" w:rsidRDefault="00D92406" w:rsidP="004F47E3">
            <w:pPr>
              <w:spacing w:after="0" w:line="240" w:lineRule="auto"/>
              <w:jc w:val="right"/>
              <w:rPr>
                <w:rFonts w:eastAsia="Times New Roman" w:cs="Calibri"/>
                <w:b/>
                <w:bCs/>
                <w:sz w:val="20"/>
                <w:szCs w:val="20"/>
                <w:lang w:val="sq-AL"/>
              </w:rPr>
            </w:pPr>
            <w:r>
              <w:rPr>
                <w:rFonts w:eastAsia="Times New Roman" w:cs="Calibri"/>
                <w:b/>
                <w:bCs/>
                <w:sz w:val="20"/>
                <w:szCs w:val="20"/>
                <w:lang w:val="sq-AL"/>
              </w:rPr>
              <w:t>-</w:t>
            </w:r>
            <w:r w:rsidR="00A350E9" w:rsidRPr="00EF7974">
              <w:rPr>
                <w:rFonts w:eastAsia="Times New Roman" w:cs="Calibri"/>
                <w:b/>
                <w:bCs/>
                <w:sz w:val="20"/>
                <w:szCs w:val="20"/>
                <w:lang w:val="sq-AL"/>
              </w:rPr>
              <w:t>5.3</w:t>
            </w:r>
          </w:p>
        </w:tc>
        <w:tc>
          <w:tcPr>
            <w:tcW w:w="126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5E8D878" w14:textId="77777777" w:rsidR="004F47E3" w:rsidRPr="0050005A" w:rsidRDefault="004F47E3" w:rsidP="004F47E3">
            <w:pPr>
              <w:spacing w:after="0" w:line="240" w:lineRule="auto"/>
              <w:jc w:val="right"/>
              <w:rPr>
                <w:rFonts w:eastAsia="Times New Roman" w:cs="Calibri"/>
                <w:b/>
                <w:bCs/>
                <w:sz w:val="20"/>
                <w:szCs w:val="20"/>
                <w:lang w:val="sq-AL"/>
              </w:rPr>
            </w:pPr>
          </w:p>
        </w:tc>
      </w:tr>
    </w:tbl>
    <w:p w14:paraId="692A902C" w14:textId="69F6D4C5" w:rsidR="00D850AB" w:rsidRPr="0050005A" w:rsidRDefault="00CB1BB9" w:rsidP="00D850AB">
      <w:pPr>
        <w:pStyle w:val="Equation"/>
        <w:keepLines/>
        <w:ind w:left="2410" w:hanging="992"/>
        <w:rPr>
          <w:lang w:val="sq-AL"/>
        </w:rPr>
      </w:pPr>
      <w:r>
        <w:rPr>
          <w:lang w:val="sq-AL"/>
        </w:rPr>
        <w:t>Gde</w:t>
      </w:r>
      <w:r w:rsidR="00D850AB" w:rsidRPr="0050005A">
        <w:rPr>
          <w:lang w:val="sq-AL"/>
        </w:rPr>
        <w:t>:</w:t>
      </w:r>
      <w:r w:rsidR="00D850AB" w:rsidRPr="0050005A">
        <w:rPr>
          <w:lang w:val="sq-AL"/>
        </w:rPr>
        <w:tab/>
      </w:r>
    </w:p>
    <w:p w14:paraId="20E9C9C5" w14:textId="7C851A92" w:rsidR="00D850AB" w:rsidRPr="0050005A" w:rsidRDefault="00D850AB" w:rsidP="00D850AB">
      <w:pPr>
        <w:pStyle w:val="Equation"/>
        <w:ind w:left="2873" w:hanging="1455"/>
        <w:rPr>
          <w:lang w:val="sq-AL"/>
        </w:rPr>
      </w:pPr>
      <w:r w:rsidRPr="0050005A">
        <w:rPr>
          <w:lang w:val="sq-AL"/>
        </w:rPr>
        <w:t>LSSA</w:t>
      </w:r>
      <w:r w:rsidRPr="0050005A">
        <w:rPr>
          <w:vertAlign w:val="subscript"/>
          <w:lang w:val="sq-AL"/>
        </w:rPr>
        <w:t>t</w:t>
      </w:r>
      <w:r w:rsidRPr="0050005A">
        <w:rPr>
          <w:lang w:val="sq-AL"/>
        </w:rPr>
        <w:tab/>
      </w:r>
      <w:r w:rsidR="00CB1BB9">
        <w:t>dozvoljeni su gubici koji se iskazuju kao procenat energije koja ulazi u distributivni sistem u relevantnoj godini</w:t>
      </w:r>
      <w:r w:rsidRPr="0050005A">
        <w:rPr>
          <w:lang w:val="sq-AL"/>
        </w:rPr>
        <w:tab/>
        <w:t xml:space="preserve">t </w:t>
      </w:r>
    </w:p>
    <w:p w14:paraId="43EE3F9E" w14:textId="43244D9E" w:rsidR="00D850AB" w:rsidRPr="0050005A" w:rsidRDefault="00D850AB" w:rsidP="00D850AB">
      <w:pPr>
        <w:pStyle w:val="Equation"/>
        <w:ind w:left="2873" w:hanging="1455"/>
        <w:jc w:val="both"/>
        <w:rPr>
          <w:lang w:val="sq-AL"/>
        </w:rPr>
      </w:pPr>
      <w:r w:rsidRPr="0050005A">
        <w:rPr>
          <w:lang w:val="sq-AL"/>
        </w:rPr>
        <w:t>REUE</w:t>
      </w:r>
      <w:r w:rsidRPr="0050005A">
        <w:rPr>
          <w:vertAlign w:val="subscript"/>
          <w:lang w:val="sq-AL"/>
        </w:rPr>
        <w:t>t</w:t>
      </w:r>
      <w:r w:rsidRPr="0050005A">
        <w:rPr>
          <w:lang w:val="sq-AL"/>
        </w:rPr>
        <w:tab/>
      </w:r>
      <w:r w:rsidR="00CB1BB9">
        <w:t>su energetske jedinice (MVh) ili (GVh) koje ulaze u distributivni sistem u relevantnoj godini</w:t>
      </w:r>
      <w:r w:rsidR="00CB1BB9">
        <w:rPr>
          <w:lang w:val="sq-AL"/>
        </w:rPr>
        <w:t xml:space="preserve"> </w:t>
      </w:r>
      <w:r w:rsidRPr="0050005A">
        <w:rPr>
          <w:lang w:val="sq-AL"/>
        </w:rPr>
        <w:t xml:space="preserve">t </w:t>
      </w:r>
    </w:p>
    <w:p w14:paraId="260B5AF4" w14:textId="0E3D7536" w:rsidR="00D850AB" w:rsidRPr="0050005A" w:rsidRDefault="00CA600C" w:rsidP="00D850AB">
      <w:pPr>
        <w:pStyle w:val="Equation"/>
        <w:ind w:left="2873" w:hanging="1455"/>
        <w:jc w:val="both"/>
        <w:rPr>
          <w:lang w:val="sq-AL"/>
        </w:rPr>
      </w:pPr>
      <w:r>
        <w:rPr>
          <w:lang w:val="sq-AL"/>
        </w:rPr>
        <w:t>W</w:t>
      </w:r>
      <w:r w:rsidR="00D850AB" w:rsidRPr="0050005A">
        <w:rPr>
          <w:lang w:val="sq-AL"/>
        </w:rPr>
        <w:t>HEA</w:t>
      </w:r>
      <w:r w:rsidR="00D850AB" w:rsidRPr="0050005A">
        <w:rPr>
          <w:vertAlign w:val="subscript"/>
          <w:lang w:val="sq-AL"/>
        </w:rPr>
        <w:t>t</w:t>
      </w:r>
      <w:r w:rsidR="00D850AB" w:rsidRPr="0050005A">
        <w:rPr>
          <w:lang w:val="sq-AL"/>
        </w:rPr>
        <w:tab/>
      </w:r>
      <w:r w:rsidR="00CB1BB9">
        <w:t>je prosjek troškova na veliko električne energije (€ / MVh) u relevantnoj godini</w:t>
      </w:r>
      <w:r w:rsidR="00CB1BB9">
        <w:t xml:space="preserve"> </w:t>
      </w:r>
      <w:r w:rsidR="00D850AB" w:rsidRPr="0050005A">
        <w:rPr>
          <w:lang w:val="sq-AL"/>
        </w:rPr>
        <w:t xml:space="preserve">t </w:t>
      </w:r>
    </w:p>
    <w:p w14:paraId="1CAD1238" w14:textId="4BC0FB67" w:rsidR="00D850AB" w:rsidRPr="0050005A" w:rsidRDefault="00D850AB" w:rsidP="00D850AB">
      <w:pPr>
        <w:pStyle w:val="Equation"/>
        <w:ind w:left="2873" w:hanging="1455"/>
        <w:jc w:val="both"/>
        <w:rPr>
          <w:lang w:val="sq-AL"/>
        </w:rPr>
      </w:pPr>
      <w:r w:rsidRPr="0050005A">
        <w:rPr>
          <w:lang w:val="sq-AL"/>
        </w:rPr>
        <w:t>LSSCa</w:t>
      </w:r>
      <w:r w:rsidRPr="0050005A">
        <w:rPr>
          <w:vertAlign w:val="subscript"/>
          <w:lang w:val="sq-AL"/>
        </w:rPr>
        <w:t>t-1</w:t>
      </w:r>
      <w:r w:rsidRPr="0050005A">
        <w:rPr>
          <w:vertAlign w:val="subscript"/>
          <w:lang w:val="sq-AL"/>
        </w:rPr>
        <w:tab/>
      </w:r>
      <w:r w:rsidR="00CB1BB9">
        <w:t>je ostvareni trošak dozvoljenih gubitaka u relevantnoj godini t‐1, (izračunato pomoću dozvoljenih gubitaka)</w:t>
      </w:r>
      <w:r w:rsidRPr="0050005A">
        <w:rPr>
          <w:lang w:val="sq-AL"/>
        </w:rPr>
        <w:t xml:space="preserve"> </w:t>
      </w:r>
    </w:p>
    <w:p w14:paraId="36A09E13" w14:textId="42329601" w:rsidR="00D850AB" w:rsidRPr="0050005A" w:rsidRDefault="00D850AB" w:rsidP="00D850AB">
      <w:pPr>
        <w:pStyle w:val="Equation"/>
        <w:ind w:left="2873" w:hanging="1455"/>
        <w:jc w:val="both"/>
        <w:rPr>
          <w:lang w:val="sq-AL"/>
        </w:rPr>
      </w:pPr>
      <w:r w:rsidRPr="0050005A">
        <w:rPr>
          <w:lang w:val="sq-AL"/>
        </w:rPr>
        <w:t>LSSCf</w:t>
      </w:r>
      <w:r w:rsidRPr="0050005A">
        <w:rPr>
          <w:vertAlign w:val="subscript"/>
          <w:lang w:val="sq-AL"/>
        </w:rPr>
        <w:t>t-1</w:t>
      </w:r>
      <w:r w:rsidRPr="0050005A">
        <w:rPr>
          <w:vertAlign w:val="subscript"/>
          <w:lang w:val="sq-AL"/>
        </w:rPr>
        <w:tab/>
      </w:r>
      <w:r w:rsidR="000E7993" w:rsidRPr="000E7993">
        <w:rPr>
          <w:lang w:val="sq-AL"/>
        </w:rPr>
        <w:t>je procenjeni trošak gubitaka u relevantnoj godini t - 1, (izračunat korišćenjem dozvoljenih gubitaka</w:t>
      </w:r>
      <w:r w:rsidR="000E7993">
        <w:rPr>
          <w:lang w:val="sq-AL"/>
        </w:rPr>
        <w:t>)</w:t>
      </w:r>
    </w:p>
    <w:p w14:paraId="4ADD0D6D" w14:textId="5D627A57" w:rsidR="008449B4" w:rsidRDefault="00D850AB" w:rsidP="00D850AB">
      <w:pPr>
        <w:pStyle w:val="Equation"/>
        <w:ind w:left="2873" w:hanging="1455"/>
        <w:jc w:val="both"/>
        <w:rPr>
          <w:lang w:val="sq-AL"/>
        </w:rPr>
      </w:pPr>
      <w:r w:rsidRPr="0050005A">
        <w:rPr>
          <w:lang w:val="sq-AL"/>
        </w:rPr>
        <w:t>I</w:t>
      </w:r>
      <w:r w:rsidRPr="0050005A">
        <w:rPr>
          <w:vertAlign w:val="subscript"/>
          <w:lang w:val="sq-AL"/>
        </w:rPr>
        <w:t>t</w:t>
      </w:r>
      <w:r w:rsidRPr="0050005A">
        <w:rPr>
          <w:lang w:val="sq-AL"/>
        </w:rPr>
        <w:tab/>
      </w:r>
      <w:r w:rsidR="000E7993">
        <w:t>je stopa interesa za relevantu godinu t, izračunava se na osnovu EURIBOR plus 5% gde $ predstavlja vrednost koja će se odrediti sa strane Regulatora u toku periodičnog razmatranja koja odražava plaćenu premiju od licenciranog za kraqtkoročne pozajmice nad stopom EURIBOR-a</w:t>
      </w:r>
      <w:r w:rsidR="00BD314F">
        <w:t>.</w:t>
      </w:r>
      <w:r w:rsidR="000E7993" w:rsidRPr="0050005A">
        <w:rPr>
          <w:lang w:val="sq-AL"/>
        </w:rPr>
        <w:t xml:space="preserve"> </w:t>
      </w:r>
    </w:p>
    <w:p w14:paraId="1D58F63A" w14:textId="78BB0DA4" w:rsidR="00301583" w:rsidRPr="00301583" w:rsidRDefault="00BD314F" w:rsidP="00301583">
      <w:pPr>
        <w:jc w:val="both"/>
        <w:rPr>
          <w:lang w:val="sq-AL"/>
        </w:rPr>
      </w:pPr>
      <w:r w:rsidRPr="00BD314F">
        <w:rPr>
          <w:lang w:val="sq-AL"/>
        </w:rPr>
        <w:t>RUE je u preliminarnoj proceni procenio troškove kupovine energije za pokriće gubitaka na osnovu trenutnih cena ostvarenih 2020. godine, ali tokom procesa javnih konsultacija, strane moraju pružiti dokaze da su se pridržavale principa navedenih u pravnom i regulatornom okviru za prodaju.energije za pokrivanje gubitaka.</w:t>
      </w:r>
    </w:p>
    <w:p w14:paraId="78EACA8F" w14:textId="4CFAB0F2" w:rsidR="00D850AB" w:rsidRPr="0050005A" w:rsidRDefault="00331609" w:rsidP="00D850AB">
      <w:pPr>
        <w:pStyle w:val="Heading2"/>
        <w:tabs>
          <w:tab w:val="clear" w:pos="720"/>
          <w:tab w:val="num" w:pos="810"/>
        </w:tabs>
        <w:ind w:left="810"/>
        <w:jc w:val="left"/>
        <w:rPr>
          <w:lang w:val="sq-AL"/>
        </w:rPr>
      </w:pPr>
      <w:r>
        <w:t>Prilagođavnja za nenaplaćene tarife</w:t>
      </w:r>
    </w:p>
    <w:p w14:paraId="6269D8B1" w14:textId="31CF6062" w:rsidR="002D231D" w:rsidRDefault="00331609" w:rsidP="00D850AB">
      <w:pPr>
        <w:jc w:val="both"/>
        <w:rPr>
          <w:lang w:val="sq-AL"/>
        </w:rPr>
      </w:pPr>
      <w:r>
        <w:t>Ostali prihodi od neregulisanih aktivnosti kao što su: prihodi od iznajmljivanja aktiva, prihodi od različitih ekonomskih operatera, prodaja aktiva, različite usluge nad potrošačima i t.d. se odbijaju od maksimalnih dozvoljenih prihoda. Vrednost ovih prihoda o</w:t>
      </w:r>
      <w:r>
        <w:t>stvarenih od strane ODS-a u 2020</w:t>
      </w:r>
      <w:r>
        <w:t xml:space="preserve">. godini </w:t>
      </w:r>
      <w:r>
        <w:lastRenderedPageBreak/>
        <w:t>prijavlj</w:t>
      </w:r>
      <w:r>
        <w:t>eno od strane KEDS u iznosu od 7</w:t>
      </w:r>
      <w:r>
        <w:t>,</w:t>
      </w:r>
      <w:r>
        <w:t>26 miliona E</w:t>
      </w:r>
      <w:r>
        <w:t xml:space="preserve">vra, </w:t>
      </w:r>
      <w:r w:rsidRPr="00331609">
        <w:t>RUE je u preliminarnoj proceni pregledao podatke prema revidiranim izveštajima, što rezultira da će neregulisani prihodi</w:t>
      </w:r>
      <w:r>
        <w:t xml:space="preserve"> za 2020. iznositi 6,6 miliona E</w:t>
      </w:r>
      <w:r w:rsidRPr="00331609">
        <w:t>vra.</w:t>
      </w:r>
    </w:p>
    <w:p w14:paraId="53C35AFE" w14:textId="2054E25F" w:rsidR="00D92406" w:rsidRDefault="00E5012C" w:rsidP="00D92406">
      <w:pPr>
        <w:jc w:val="both"/>
        <w:rPr>
          <w:lang w:val="sq-AL"/>
        </w:rPr>
      </w:pPr>
      <w:r w:rsidRPr="00E5012C">
        <w:rPr>
          <w:lang w:val="sq-AL"/>
        </w:rPr>
        <w:t>Sledeća tabela prikazuje detalje neregulisanih prihoda</w:t>
      </w:r>
      <w:r w:rsidR="00D92406">
        <w:rPr>
          <w:lang w:val="sq-AL"/>
        </w:rPr>
        <w:t>:</w:t>
      </w:r>
    </w:p>
    <w:tbl>
      <w:tblPr>
        <w:tblW w:w="4303" w:type="dxa"/>
        <w:tblLook w:val="04A0" w:firstRow="1" w:lastRow="0" w:firstColumn="1" w:lastColumn="0" w:noHBand="0" w:noVBand="1"/>
      </w:tblPr>
      <w:tblGrid>
        <w:gridCol w:w="3443"/>
        <w:gridCol w:w="860"/>
      </w:tblGrid>
      <w:tr w:rsidR="00D92406" w:rsidRPr="00D92406" w14:paraId="62FD4C8D" w14:textId="77777777" w:rsidTr="00D92406">
        <w:trPr>
          <w:trHeight w:val="300"/>
        </w:trPr>
        <w:tc>
          <w:tcPr>
            <w:tcW w:w="34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886A33D" w14:textId="31D7A6B2" w:rsidR="00D92406" w:rsidRPr="00D92406" w:rsidRDefault="00EE2406" w:rsidP="00D92406">
            <w:pPr>
              <w:spacing w:after="0" w:line="240" w:lineRule="auto"/>
              <w:rPr>
                <w:rFonts w:asciiTheme="minorHAnsi" w:eastAsia="Times New Roman" w:hAnsiTheme="minorHAnsi" w:cstheme="minorHAnsi"/>
                <w:b/>
                <w:bCs/>
                <w:color w:val="FFFFFF" w:themeColor="background1"/>
                <w:sz w:val="20"/>
                <w:lang w:val="sq-AL"/>
              </w:rPr>
            </w:pPr>
            <w:r w:rsidRPr="00EE2406">
              <w:rPr>
                <w:rFonts w:asciiTheme="minorHAnsi" w:eastAsia="Times New Roman" w:hAnsiTheme="minorHAnsi" w:cstheme="minorHAnsi"/>
                <w:b/>
                <w:bCs/>
                <w:color w:val="FFFFFF" w:themeColor="background1"/>
                <w:sz w:val="20"/>
                <w:lang w:val="sq-AL"/>
              </w:rPr>
              <w:t xml:space="preserve">Neregulisani prihodi </w:t>
            </w:r>
            <w:r w:rsidR="00D92406" w:rsidRPr="00D92406">
              <w:rPr>
                <w:rFonts w:asciiTheme="minorHAnsi" w:eastAsia="Times New Roman" w:hAnsiTheme="minorHAnsi" w:cstheme="minorHAnsi"/>
                <w:b/>
                <w:bCs/>
                <w:color w:val="FFFFFF" w:themeColor="background1"/>
                <w:sz w:val="20"/>
                <w:lang w:val="sq-AL"/>
              </w:rPr>
              <w:t>2020</w:t>
            </w:r>
          </w:p>
        </w:tc>
        <w:tc>
          <w:tcPr>
            <w:tcW w:w="86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303100ED" w14:textId="058CD64C" w:rsidR="00D92406" w:rsidRPr="00D92406" w:rsidRDefault="00D92406" w:rsidP="00D92406">
            <w:pPr>
              <w:spacing w:after="0" w:line="240" w:lineRule="auto"/>
              <w:jc w:val="center"/>
              <w:rPr>
                <w:rFonts w:asciiTheme="minorHAnsi" w:eastAsia="Times New Roman" w:hAnsiTheme="minorHAnsi" w:cstheme="minorHAnsi"/>
                <w:b/>
                <w:bCs/>
                <w:color w:val="FFFFFF" w:themeColor="background1"/>
                <w:sz w:val="20"/>
                <w:lang w:val="sq-AL"/>
              </w:rPr>
            </w:pPr>
            <w:r w:rsidRPr="00D92406">
              <w:rPr>
                <w:rFonts w:asciiTheme="minorHAnsi" w:eastAsia="Times New Roman" w:hAnsiTheme="minorHAnsi" w:cstheme="minorHAnsi"/>
                <w:b/>
                <w:bCs/>
                <w:color w:val="FFFFFF" w:themeColor="background1"/>
                <w:sz w:val="20"/>
                <w:lang w:val="sq-AL"/>
              </w:rPr>
              <w:t>€000s</w:t>
            </w:r>
          </w:p>
        </w:tc>
      </w:tr>
      <w:tr w:rsidR="00D92406" w:rsidRPr="00D92406" w14:paraId="662AE23E"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2A6EAFDD" w14:textId="69514938" w:rsidR="00D92406" w:rsidRPr="00D92406" w:rsidRDefault="00EE2406" w:rsidP="00D92406">
            <w:pPr>
              <w:spacing w:after="0" w:line="240" w:lineRule="auto"/>
              <w:ind w:firstLineChars="100" w:firstLine="200"/>
              <w:rPr>
                <w:rFonts w:asciiTheme="minorHAnsi" w:eastAsia="Times New Roman" w:hAnsiTheme="minorHAnsi" w:cstheme="minorHAnsi"/>
                <w:color w:val="000000"/>
                <w:sz w:val="20"/>
                <w:lang w:val="sq-AL"/>
              </w:rPr>
            </w:pPr>
            <w:r w:rsidRPr="00EE2406">
              <w:rPr>
                <w:rFonts w:asciiTheme="minorHAnsi" w:eastAsia="Times New Roman" w:hAnsiTheme="minorHAnsi" w:cstheme="minorHAnsi"/>
                <w:color w:val="000000"/>
                <w:sz w:val="20"/>
                <w:lang w:val="sq-AL"/>
              </w:rPr>
              <w:t>Usluge distribucije</w:t>
            </w:r>
          </w:p>
        </w:tc>
        <w:tc>
          <w:tcPr>
            <w:tcW w:w="860" w:type="dxa"/>
            <w:tcBorders>
              <w:top w:val="nil"/>
              <w:left w:val="nil"/>
              <w:bottom w:val="single" w:sz="4" w:space="0" w:color="auto"/>
              <w:right w:val="single" w:sz="4" w:space="0" w:color="auto"/>
            </w:tcBorders>
            <w:shd w:val="clear" w:color="auto" w:fill="auto"/>
            <w:noWrap/>
            <w:vAlign w:val="center"/>
            <w:hideMark/>
          </w:tcPr>
          <w:p w14:paraId="735D87AD" w14:textId="7C1E3623"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1,545</w:t>
            </w:r>
          </w:p>
        </w:tc>
      </w:tr>
      <w:tr w:rsidR="00D92406" w:rsidRPr="00D92406" w14:paraId="35C610DA"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6366208" w14:textId="37A2FFB0" w:rsidR="00D92406" w:rsidRPr="00D92406" w:rsidRDefault="00EE2406" w:rsidP="00D92406">
            <w:pPr>
              <w:spacing w:after="0" w:line="240" w:lineRule="auto"/>
              <w:ind w:firstLineChars="100" w:firstLine="200"/>
              <w:rPr>
                <w:rFonts w:asciiTheme="minorHAnsi" w:eastAsia="Times New Roman" w:hAnsiTheme="minorHAnsi" w:cstheme="minorHAnsi"/>
                <w:color w:val="000000"/>
                <w:sz w:val="20"/>
                <w:lang w:val="sq-AL"/>
              </w:rPr>
            </w:pPr>
            <w:r w:rsidRPr="00EE2406">
              <w:rPr>
                <w:rFonts w:asciiTheme="minorHAnsi" w:eastAsia="Times New Roman" w:hAnsiTheme="minorHAnsi" w:cstheme="minorHAnsi"/>
                <w:color w:val="000000"/>
                <w:sz w:val="20"/>
                <w:lang w:val="sq-AL"/>
              </w:rPr>
              <w:t>Usluge energetske saglasnosti</w:t>
            </w:r>
          </w:p>
        </w:tc>
        <w:tc>
          <w:tcPr>
            <w:tcW w:w="860" w:type="dxa"/>
            <w:tcBorders>
              <w:top w:val="nil"/>
              <w:left w:val="nil"/>
              <w:bottom w:val="single" w:sz="4" w:space="0" w:color="auto"/>
              <w:right w:val="single" w:sz="4" w:space="0" w:color="auto"/>
            </w:tcBorders>
            <w:shd w:val="clear" w:color="auto" w:fill="auto"/>
            <w:noWrap/>
            <w:vAlign w:val="center"/>
            <w:hideMark/>
          </w:tcPr>
          <w:p w14:paraId="3F5B89E6" w14:textId="319B8D39"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1,994</w:t>
            </w:r>
          </w:p>
        </w:tc>
      </w:tr>
      <w:tr w:rsidR="00D92406" w:rsidRPr="00D92406" w14:paraId="61BA6491"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0A813BF0" w14:textId="4A1C0DDB" w:rsidR="00D92406" w:rsidRPr="00D92406" w:rsidRDefault="00EE2406" w:rsidP="00D92406">
            <w:pPr>
              <w:spacing w:after="0" w:line="240" w:lineRule="auto"/>
              <w:ind w:firstLineChars="100" w:firstLine="200"/>
              <w:rPr>
                <w:rFonts w:asciiTheme="minorHAnsi" w:eastAsia="Times New Roman" w:hAnsiTheme="minorHAnsi" w:cstheme="minorHAnsi"/>
                <w:color w:val="000000"/>
                <w:sz w:val="20"/>
                <w:lang w:val="sq-AL"/>
              </w:rPr>
            </w:pPr>
            <w:r w:rsidRPr="00EE2406">
              <w:rPr>
                <w:rFonts w:asciiTheme="minorHAnsi" w:eastAsia="Times New Roman" w:hAnsiTheme="minorHAnsi" w:cstheme="minorHAnsi"/>
                <w:color w:val="000000"/>
                <w:sz w:val="20"/>
                <w:lang w:val="sq-AL"/>
              </w:rPr>
              <w:t>Ostale usluge</w:t>
            </w:r>
          </w:p>
        </w:tc>
        <w:tc>
          <w:tcPr>
            <w:tcW w:w="860" w:type="dxa"/>
            <w:tcBorders>
              <w:top w:val="nil"/>
              <w:left w:val="nil"/>
              <w:bottom w:val="single" w:sz="4" w:space="0" w:color="auto"/>
              <w:right w:val="single" w:sz="4" w:space="0" w:color="auto"/>
            </w:tcBorders>
            <w:shd w:val="clear" w:color="auto" w:fill="auto"/>
            <w:noWrap/>
            <w:vAlign w:val="center"/>
            <w:hideMark/>
          </w:tcPr>
          <w:p w14:paraId="1AE51745" w14:textId="61A1E256"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2,091</w:t>
            </w:r>
          </w:p>
        </w:tc>
      </w:tr>
      <w:tr w:rsidR="00D92406" w:rsidRPr="00D92406" w14:paraId="68D6BCAD"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46B0F8D9" w14:textId="748D952E" w:rsidR="00D92406" w:rsidRPr="00D92406" w:rsidRDefault="00EE2406" w:rsidP="00D92406">
            <w:pPr>
              <w:spacing w:after="0" w:line="240" w:lineRule="auto"/>
              <w:ind w:firstLineChars="100" w:firstLine="200"/>
              <w:rPr>
                <w:rFonts w:asciiTheme="minorHAnsi" w:eastAsia="Times New Roman" w:hAnsiTheme="minorHAnsi" w:cstheme="minorHAnsi"/>
                <w:color w:val="000000"/>
                <w:sz w:val="20"/>
                <w:lang w:val="sq-AL"/>
              </w:rPr>
            </w:pPr>
            <w:r w:rsidRPr="00EE2406">
              <w:rPr>
                <w:rFonts w:asciiTheme="minorHAnsi" w:eastAsia="Times New Roman" w:hAnsiTheme="minorHAnsi" w:cstheme="minorHAnsi"/>
                <w:color w:val="000000"/>
                <w:sz w:val="20"/>
                <w:lang w:val="sq-AL"/>
              </w:rPr>
              <w:t>Prihod od zaliha bez porekla</w:t>
            </w:r>
          </w:p>
        </w:tc>
        <w:tc>
          <w:tcPr>
            <w:tcW w:w="860" w:type="dxa"/>
            <w:tcBorders>
              <w:top w:val="nil"/>
              <w:left w:val="nil"/>
              <w:bottom w:val="single" w:sz="4" w:space="0" w:color="auto"/>
              <w:right w:val="single" w:sz="4" w:space="0" w:color="auto"/>
            </w:tcBorders>
            <w:shd w:val="clear" w:color="auto" w:fill="auto"/>
            <w:noWrap/>
            <w:vAlign w:val="center"/>
            <w:hideMark/>
          </w:tcPr>
          <w:p w14:paraId="0E47856F" w14:textId="67C2B5E2"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689</w:t>
            </w:r>
          </w:p>
        </w:tc>
      </w:tr>
      <w:tr w:rsidR="00D92406" w:rsidRPr="00D92406" w14:paraId="6EB120CF"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1113262" w14:textId="6EE34EEF" w:rsidR="00D92406" w:rsidRPr="00D92406" w:rsidRDefault="00EE2406" w:rsidP="00D92406">
            <w:pPr>
              <w:spacing w:after="0" w:line="240" w:lineRule="auto"/>
              <w:ind w:firstLineChars="100" w:firstLine="200"/>
              <w:rPr>
                <w:rFonts w:asciiTheme="minorHAnsi" w:eastAsia="Times New Roman" w:hAnsiTheme="minorHAnsi" w:cstheme="minorHAnsi"/>
                <w:color w:val="000000"/>
                <w:sz w:val="20"/>
                <w:lang w:val="sq-AL"/>
              </w:rPr>
            </w:pPr>
            <w:r w:rsidRPr="00EE2406">
              <w:rPr>
                <w:rFonts w:asciiTheme="minorHAnsi" w:eastAsia="Times New Roman" w:hAnsiTheme="minorHAnsi" w:cstheme="minorHAnsi"/>
                <w:color w:val="000000"/>
                <w:sz w:val="20"/>
                <w:lang w:val="sq-AL"/>
              </w:rPr>
              <w:t>Ostali prihodi</w:t>
            </w:r>
          </w:p>
        </w:tc>
        <w:tc>
          <w:tcPr>
            <w:tcW w:w="860" w:type="dxa"/>
            <w:tcBorders>
              <w:top w:val="nil"/>
              <w:left w:val="nil"/>
              <w:bottom w:val="single" w:sz="4" w:space="0" w:color="auto"/>
              <w:right w:val="single" w:sz="4" w:space="0" w:color="auto"/>
            </w:tcBorders>
            <w:shd w:val="clear" w:color="auto" w:fill="auto"/>
            <w:noWrap/>
            <w:vAlign w:val="center"/>
            <w:hideMark/>
          </w:tcPr>
          <w:p w14:paraId="5BC6A4E7" w14:textId="0A371038"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98</w:t>
            </w:r>
          </w:p>
        </w:tc>
      </w:tr>
      <w:tr w:rsidR="00D92406" w:rsidRPr="00D92406" w14:paraId="387EEF3D"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C449ECF" w14:textId="289B1C4C" w:rsidR="00D92406" w:rsidRPr="00D92406" w:rsidRDefault="00EE2406" w:rsidP="00D92406">
            <w:pPr>
              <w:spacing w:after="0" w:line="240" w:lineRule="auto"/>
              <w:ind w:firstLineChars="100" w:firstLine="200"/>
              <w:rPr>
                <w:rFonts w:asciiTheme="minorHAnsi" w:eastAsia="Times New Roman" w:hAnsiTheme="minorHAnsi" w:cstheme="minorHAnsi"/>
                <w:color w:val="000000"/>
                <w:sz w:val="20"/>
                <w:lang w:val="sq-AL"/>
              </w:rPr>
            </w:pPr>
            <w:r w:rsidRPr="00EE2406">
              <w:rPr>
                <w:rFonts w:asciiTheme="minorHAnsi" w:eastAsia="Times New Roman" w:hAnsiTheme="minorHAnsi" w:cstheme="minorHAnsi"/>
                <w:color w:val="000000"/>
                <w:sz w:val="20"/>
                <w:lang w:val="sq-AL"/>
              </w:rPr>
              <w:t>Prihodi od zakupnina</w:t>
            </w:r>
          </w:p>
        </w:tc>
        <w:tc>
          <w:tcPr>
            <w:tcW w:w="860" w:type="dxa"/>
            <w:tcBorders>
              <w:top w:val="nil"/>
              <w:left w:val="nil"/>
              <w:bottom w:val="single" w:sz="4" w:space="0" w:color="auto"/>
              <w:right w:val="single" w:sz="4" w:space="0" w:color="auto"/>
            </w:tcBorders>
            <w:shd w:val="clear" w:color="auto" w:fill="auto"/>
            <w:noWrap/>
            <w:vAlign w:val="center"/>
            <w:hideMark/>
          </w:tcPr>
          <w:p w14:paraId="0F8D3D8C" w14:textId="382DD8AD"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100</w:t>
            </w:r>
          </w:p>
        </w:tc>
      </w:tr>
      <w:tr w:rsidR="00D92406" w:rsidRPr="00D92406" w14:paraId="28DC90F7"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78ACC6A8" w14:textId="0E07F263" w:rsidR="00D92406" w:rsidRPr="00D92406" w:rsidRDefault="00EE2406" w:rsidP="00D92406">
            <w:pPr>
              <w:spacing w:after="0" w:line="240" w:lineRule="auto"/>
              <w:ind w:firstLineChars="100" w:firstLine="200"/>
              <w:rPr>
                <w:rFonts w:asciiTheme="minorHAnsi" w:eastAsia="Times New Roman" w:hAnsiTheme="minorHAnsi" w:cstheme="minorHAnsi"/>
                <w:color w:val="000000"/>
                <w:sz w:val="20"/>
                <w:lang w:val="sq-AL"/>
              </w:rPr>
            </w:pPr>
            <w:r w:rsidRPr="00EE2406">
              <w:rPr>
                <w:rFonts w:asciiTheme="minorHAnsi" w:eastAsia="Times New Roman" w:hAnsiTheme="minorHAnsi" w:cstheme="minorHAnsi"/>
                <w:color w:val="000000"/>
                <w:sz w:val="20"/>
                <w:lang w:val="sq-AL"/>
              </w:rPr>
              <w:t>Dobit od prodaje osnovnih sredstava</w:t>
            </w:r>
          </w:p>
        </w:tc>
        <w:tc>
          <w:tcPr>
            <w:tcW w:w="860" w:type="dxa"/>
            <w:tcBorders>
              <w:top w:val="nil"/>
              <w:left w:val="nil"/>
              <w:bottom w:val="single" w:sz="4" w:space="0" w:color="auto"/>
              <w:right w:val="single" w:sz="4" w:space="0" w:color="auto"/>
            </w:tcBorders>
            <w:shd w:val="clear" w:color="auto" w:fill="auto"/>
            <w:noWrap/>
            <w:vAlign w:val="center"/>
            <w:hideMark/>
          </w:tcPr>
          <w:p w14:paraId="174E1086" w14:textId="5038E328"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97</w:t>
            </w:r>
          </w:p>
        </w:tc>
      </w:tr>
      <w:tr w:rsidR="00D92406" w:rsidRPr="00D92406" w14:paraId="05B560EB" w14:textId="77777777" w:rsidTr="00D92406">
        <w:trPr>
          <w:trHeight w:val="300"/>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30B2149F" w14:textId="33E7F853" w:rsidR="00D92406" w:rsidRPr="00D92406" w:rsidRDefault="00EE2406" w:rsidP="00D92406">
            <w:pPr>
              <w:spacing w:after="0" w:line="240" w:lineRule="auto"/>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Ukupno</w:t>
            </w:r>
          </w:p>
        </w:tc>
        <w:tc>
          <w:tcPr>
            <w:tcW w:w="860" w:type="dxa"/>
            <w:tcBorders>
              <w:top w:val="nil"/>
              <w:left w:val="nil"/>
              <w:bottom w:val="single" w:sz="4" w:space="0" w:color="auto"/>
              <w:right w:val="single" w:sz="4" w:space="0" w:color="auto"/>
            </w:tcBorders>
            <w:shd w:val="clear" w:color="auto" w:fill="auto"/>
            <w:noWrap/>
            <w:vAlign w:val="center"/>
            <w:hideMark/>
          </w:tcPr>
          <w:p w14:paraId="3ACDD6C7" w14:textId="140C172B" w:rsidR="00D92406" w:rsidRPr="00D92406" w:rsidRDefault="00D92406" w:rsidP="000C382B">
            <w:pPr>
              <w:spacing w:after="0" w:line="240" w:lineRule="auto"/>
              <w:rPr>
                <w:rFonts w:asciiTheme="minorHAnsi" w:eastAsia="Times New Roman" w:hAnsiTheme="minorHAnsi" w:cstheme="minorHAnsi"/>
                <w:b/>
                <w:bCs/>
                <w:sz w:val="20"/>
                <w:szCs w:val="20"/>
                <w:lang w:val="sq-AL"/>
              </w:rPr>
            </w:pPr>
            <w:r w:rsidRPr="00D92406">
              <w:rPr>
                <w:rFonts w:asciiTheme="minorHAnsi" w:eastAsia="Times New Roman" w:hAnsiTheme="minorHAnsi" w:cstheme="minorHAnsi"/>
                <w:b/>
                <w:bCs/>
                <w:sz w:val="20"/>
                <w:szCs w:val="20"/>
                <w:lang w:val="sq-AL"/>
              </w:rPr>
              <w:t>6,614</w:t>
            </w:r>
          </w:p>
        </w:tc>
      </w:tr>
    </w:tbl>
    <w:p w14:paraId="5D5EC0DE" w14:textId="01DB43C4" w:rsidR="00D92406" w:rsidRDefault="00D92406">
      <w:pPr>
        <w:spacing w:after="0" w:line="240" w:lineRule="auto"/>
        <w:rPr>
          <w:lang w:val="sq-AL"/>
        </w:rPr>
      </w:pPr>
    </w:p>
    <w:p w14:paraId="72C575C1" w14:textId="77777777" w:rsidR="00D92406" w:rsidRDefault="00D92406" w:rsidP="00D850AB">
      <w:pPr>
        <w:jc w:val="both"/>
        <w:rPr>
          <w:lang w:val="sq-AL"/>
        </w:rPr>
      </w:pPr>
    </w:p>
    <w:p w14:paraId="11AAEB2D" w14:textId="69202E20" w:rsidR="00D850AB" w:rsidRPr="0050005A" w:rsidRDefault="00110DA3" w:rsidP="00D850AB">
      <w:pPr>
        <w:pStyle w:val="Heading2"/>
        <w:tabs>
          <w:tab w:val="clear" w:pos="720"/>
          <w:tab w:val="num" w:pos="810"/>
        </w:tabs>
        <w:ind w:left="810"/>
        <w:jc w:val="left"/>
        <w:rPr>
          <w:lang w:val="sq-AL"/>
        </w:rPr>
      </w:pPr>
      <w:r>
        <w:t>Prilagođavanje za korektivni faktor prihoda</w:t>
      </w:r>
    </w:p>
    <w:p w14:paraId="650CCDE6" w14:textId="026A5971" w:rsidR="00D850AB" w:rsidRPr="0050005A" w:rsidRDefault="00EC499E" w:rsidP="00D850AB">
      <w:pPr>
        <w:spacing w:before="120"/>
        <w:jc w:val="both"/>
        <w:rPr>
          <w:lang w:val="sq-AL"/>
        </w:rPr>
      </w:pPr>
      <w:r>
        <w:t>U skladu sa Pravilnikom o Maksimalno Dozvoljenim P</w:t>
      </w:r>
      <w:r>
        <w:t>rihod</w:t>
      </w:r>
      <w:r>
        <w:t>ima, korigovan je prihod za 2020</w:t>
      </w:r>
      <w:r>
        <w:t>. godinu Princip koji se primenjuje u vezi sa opštom procenom trenutnih dozvoljenih troškova i ostvarenih stvarnih prihoda. Ovi proračuni su urađeni prema sledećoj formul</w:t>
      </w:r>
      <w:r>
        <w:rPr>
          <w:lang w:val="sq-AL"/>
        </w:rPr>
        <w:t>i:</w:t>
      </w:r>
    </w:p>
    <w:p w14:paraId="3743E55E" w14:textId="1CAC6656" w:rsidR="00D850AB" w:rsidRPr="0050005A" w:rsidRDefault="00D850AB" w:rsidP="00D850AB">
      <w:pPr>
        <w:pStyle w:val="Equation"/>
        <w:ind w:left="2835" w:hanging="1701"/>
        <w:jc w:val="both"/>
        <w:rPr>
          <w:lang w:val="sq-AL"/>
        </w:rPr>
      </w:pPr>
      <w:r w:rsidRPr="0050005A">
        <w:rPr>
          <w:lang w:val="sq-AL"/>
        </w:rPr>
        <w:t>KREV</w:t>
      </w:r>
      <w:r w:rsidRPr="0050005A">
        <w:rPr>
          <w:vertAlign w:val="subscript"/>
          <w:lang w:val="sq-AL"/>
        </w:rPr>
        <w:t>t</w:t>
      </w:r>
      <w:r w:rsidRPr="0050005A">
        <w:rPr>
          <w:lang w:val="sq-AL"/>
        </w:rPr>
        <w:t xml:space="preserve"> = (AAC</w:t>
      </w:r>
      <w:r w:rsidRPr="0050005A">
        <w:rPr>
          <w:vertAlign w:val="subscript"/>
          <w:lang w:val="sq-AL"/>
        </w:rPr>
        <w:t>at</w:t>
      </w:r>
      <w:r w:rsidR="00FD4DCD">
        <w:rPr>
          <w:vertAlign w:val="subscript"/>
          <w:lang w:val="sq-AL"/>
        </w:rPr>
        <w:t>-</w:t>
      </w:r>
      <w:r w:rsidRPr="0050005A">
        <w:rPr>
          <w:vertAlign w:val="subscript"/>
          <w:lang w:val="sq-AL"/>
        </w:rPr>
        <w:t>1</w:t>
      </w:r>
      <w:r w:rsidRPr="0050005A">
        <w:rPr>
          <w:lang w:val="sq-AL"/>
        </w:rPr>
        <w:t xml:space="preserve"> – ARR</w:t>
      </w:r>
      <w:r w:rsidRPr="0050005A">
        <w:rPr>
          <w:vertAlign w:val="subscript"/>
          <w:lang w:val="sq-AL"/>
        </w:rPr>
        <w:t>t-1</w:t>
      </w:r>
      <w:r w:rsidRPr="00FD4DCD">
        <w:rPr>
          <w:lang w:val="sq-AL"/>
        </w:rPr>
        <w:t>)</w:t>
      </w:r>
      <w:r w:rsidRPr="0050005A">
        <w:rPr>
          <w:vertAlign w:val="subscript"/>
          <w:lang w:val="sq-AL"/>
        </w:rPr>
        <w:t xml:space="preserve"> </w:t>
      </w:r>
      <w:r w:rsidRPr="0050005A">
        <w:rPr>
          <w:lang w:val="sq-AL"/>
        </w:rPr>
        <w:t>* (1+ I</w:t>
      </w:r>
      <w:r w:rsidRPr="0050005A">
        <w:rPr>
          <w:vertAlign w:val="subscript"/>
          <w:lang w:val="sq-AL"/>
        </w:rPr>
        <w:t>t</w:t>
      </w:r>
      <w:r w:rsidRPr="0050005A">
        <w:rPr>
          <w:lang w:val="sq-AL"/>
        </w:rPr>
        <w:t xml:space="preserve">) </w:t>
      </w:r>
    </w:p>
    <w:p w14:paraId="42C327CE" w14:textId="5A675426" w:rsidR="00D850AB" w:rsidRPr="0050005A" w:rsidRDefault="00EC499E" w:rsidP="00D850AB">
      <w:pPr>
        <w:pStyle w:val="Equation"/>
        <w:ind w:left="2835" w:hanging="1701"/>
        <w:jc w:val="both"/>
        <w:rPr>
          <w:lang w:val="sq-AL"/>
        </w:rPr>
      </w:pPr>
      <w:r>
        <w:rPr>
          <w:lang w:val="sq-AL"/>
        </w:rPr>
        <w:t>Gde su</w:t>
      </w:r>
      <w:r w:rsidR="00D850AB" w:rsidRPr="0050005A">
        <w:rPr>
          <w:lang w:val="sq-AL"/>
        </w:rPr>
        <w:t xml:space="preserve">: </w:t>
      </w:r>
    </w:p>
    <w:p w14:paraId="53DAEFD0" w14:textId="11095D34" w:rsidR="00D850AB" w:rsidRPr="0050005A" w:rsidRDefault="00D850AB" w:rsidP="00D850AB">
      <w:pPr>
        <w:pStyle w:val="Equation"/>
        <w:ind w:left="2835" w:hanging="1701"/>
        <w:jc w:val="both"/>
        <w:rPr>
          <w:lang w:val="sq-AL"/>
        </w:rPr>
      </w:pPr>
      <w:r w:rsidRPr="0050005A">
        <w:rPr>
          <w:lang w:val="sq-AL"/>
        </w:rPr>
        <w:t>AAC</w:t>
      </w:r>
      <w:r w:rsidRPr="0050005A">
        <w:rPr>
          <w:vertAlign w:val="subscript"/>
          <w:lang w:val="sq-AL"/>
        </w:rPr>
        <w:t xml:space="preserve">at-1 </w:t>
      </w:r>
      <w:r w:rsidRPr="0050005A">
        <w:rPr>
          <w:lang w:val="sq-AL"/>
        </w:rPr>
        <w:tab/>
      </w:r>
      <w:r w:rsidR="00EC499E">
        <w:t>Dozvoljene trenutne potrošnje t-1</w:t>
      </w:r>
      <w:r w:rsidRPr="0050005A">
        <w:rPr>
          <w:lang w:val="sq-AL"/>
        </w:rPr>
        <w:t xml:space="preserve"> (“Actual Alloed Cost as determined in Relevant Year t-1”) </w:t>
      </w:r>
    </w:p>
    <w:p w14:paraId="112EE092" w14:textId="5AB10D0C" w:rsidR="00D850AB" w:rsidRPr="0050005A" w:rsidRDefault="00D850AB" w:rsidP="00D850AB">
      <w:pPr>
        <w:pStyle w:val="Equation"/>
        <w:ind w:left="2835" w:hanging="1701"/>
        <w:jc w:val="both"/>
        <w:rPr>
          <w:lang w:val="sq-AL"/>
        </w:rPr>
      </w:pPr>
      <w:r w:rsidRPr="0050005A">
        <w:rPr>
          <w:lang w:val="sq-AL"/>
        </w:rPr>
        <w:t>ARR</w:t>
      </w:r>
      <w:r w:rsidRPr="0050005A">
        <w:rPr>
          <w:vertAlign w:val="subscript"/>
          <w:lang w:val="sq-AL"/>
        </w:rPr>
        <w:t xml:space="preserve">t-1 </w:t>
      </w:r>
      <w:r w:rsidR="004D6ADF">
        <w:rPr>
          <w:lang w:val="sq-AL"/>
        </w:rPr>
        <w:tab/>
      </w:r>
      <w:r w:rsidR="004D6ADF">
        <w:t>Predstavlja ostvarivi prihod za relevantnu godinu</w:t>
      </w:r>
      <w:r w:rsidRPr="0050005A">
        <w:rPr>
          <w:lang w:val="sq-AL"/>
        </w:rPr>
        <w:t xml:space="preserve"> t-1 (“is the Actual Regulated Revenues in Relevant Year t-1”)</w:t>
      </w:r>
    </w:p>
    <w:p w14:paraId="4E6A0AFE" w14:textId="78D038B1" w:rsidR="00D850AB" w:rsidRPr="0050005A" w:rsidRDefault="00D850AB" w:rsidP="00D850AB">
      <w:pPr>
        <w:pStyle w:val="Equation"/>
        <w:ind w:left="2835" w:hanging="1701"/>
        <w:jc w:val="both"/>
        <w:rPr>
          <w:rFonts w:cs="Calibri"/>
          <w:lang w:val="sq-AL"/>
        </w:rPr>
      </w:pPr>
      <w:r w:rsidRPr="0050005A">
        <w:rPr>
          <w:rFonts w:cs="Calibri"/>
          <w:lang w:val="sq-AL"/>
        </w:rPr>
        <w:t>I</w:t>
      </w:r>
      <w:r w:rsidRPr="0050005A">
        <w:rPr>
          <w:rFonts w:cs="Calibri"/>
          <w:vertAlign w:val="subscript"/>
          <w:lang w:val="sq-AL"/>
        </w:rPr>
        <w:t>t</w:t>
      </w:r>
      <w:r w:rsidRPr="0050005A">
        <w:rPr>
          <w:rFonts w:cs="Calibri"/>
          <w:lang w:val="sq-AL"/>
        </w:rPr>
        <w:tab/>
      </w:r>
      <w:r w:rsidR="004D6ADF">
        <w:t>Stopa interesa za relevantnu godinu t, që llogaritet bazuar në koja se računa po osnovi EURIBOR plus S%, gde S predstavlja određenu vrednost RUE-a periodičnog pregleda koja se odzire na plaćenu premiju od licenciranog za kratkoročne pozajmice.</w:t>
      </w:r>
      <w:r w:rsidR="004D6ADF" w:rsidRPr="0050005A">
        <w:rPr>
          <w:lang w:val="sq-AL"/>
        </w:rPr>
        <w:t xml:space="preserve"> </w:t>
      </w:r>
    </w:p>
    <w:p w14:paraId="553496D4" w14:textId="28FBC633" w:rsidR="00AB27EB" w:rsidRDefault="00D850AB" w:rsidP="00EA7B27">
      <w:pPr>
        <w:jc w:val="both"/>
        <w:rPr>
          <w:lang w:val="sq-AL"/>
        </w:rPr>
      </w:pPr>
      <w:r w:rsidRPr="0050005A">
        <w:rPr>
          <w:lang w:val="sq-AL"/>
        </w:rPr>
        <w:t xml:space="preserve">Ndryshimi në mes të </w:t>
      </w:r>
      <w:r w:rsidR="00AB27EB" w:rsidRPr="0050005A">
        <w:rPr>
          <w:lang w:val="sq-AL"/>
        </w:rPr>
        <w:t>AAC</w:t>
      </w:r>
      <w:r w:rsidR="00AB27EB" w:rsidRPr="0050005A">
        <w:rPr>
          <w:vertAlign w:val="subscript"/>
          <w:lang w:val="sq-AL"/>
        </w:rPr>
        <w:t>at</w:t>
      </w:r>
      <w:r w:rsidR="00FD4DCD">
        <w:rPr>
          <w:vertAlign w:val="subscript"/>
          <w:lang w:val="sq-AL"/>
        </w:rPr>
        <w:t>-</w:t>
      </w:r>
      <w:r w:rsidR="00AB27EB" w:rsidRPr="0050005A">
        <w:rPr>
          <w:vertAlign w:val="subscript"/>
          <w:lang w:val="sq-AL"/>
        </w:rPr>
        <w:t>1</w:t>
      </w:r>
      <w:r w:rsidR="00AB27EB" w:rsidRPr="0050005A">
        <w:rPr>
          <w:lang w:val="sq-AL"/>
        </w:rPr>
        <w:t xml:space="preserve"> </w:t>
      </w:r>
      <w:r w:rsidR="00AB27EB">
        <w:rPr>
          <w:lang w:val="sq-AL"/>
        </w:rPr>
        <w:t xml:space="preserve">prej </w:t>
      </w:r>
      <w:r w:rsidR="000C382B">
        <w:rPr>
          <w:lang w:val="sq-AL"/>
        </w:rPr>
        <w:t>87.06</w:t>
      </w:r>
      <w:r w:rsidR="00AB27EB" w:rsidRPr="00D23A4D">
        <w:rPr>
          <w:lang w:val="sq-AL"/>
        </w:rPr>
        <w:t xml:space="preserve"> mil€ dhe ARR</w:t>
      </w:r>
      <w:r w:rsidR="00AB27EB" w:rsidRPr="00D23A4D">
        <w:rPr>
          <w:vertAlign w:val="subscript"/>
          <w:lang w:val="sq-AL"/>
        </w:rPr>
        <w:t xml:space="preserve">t-1 </w:t>
      </w:r>
      <w:r w:rsidR="00E25993" w:rsidRPr="00D23A4D">
        <w:rPr>
          <w:lang w:val="sq-AL"/>
        </w:rPr>
        <w:t xml:space="preserve">prej </w:t>
      </w:r>
      <w:r w:rsidR="003F62EE">
        <w:rPr>
          <w:lang w:val="sq-AL"/>
        </w:rPr>
        <w:t>100</w:t>
      </w:r>
      <w:r w:rsidR="006E51E6" w:rsidRPr="00D23A4D">
        <w:rPr>
          <w:lang w:val="sq-AL"/>
        </w:rPr>
        <w:t>.</w:t>
      </w:r>
      <w:r w:rsidR="003F62EE">
        <w:rPr>
          <w:lang w:val="sq-AL"/>
        </w:rPr>
        <w:t>55</w:t>
      </w:r>
      <w:r w:rsidR="00E25993" w:rsidRPr="00D23A4D">
        <w:rPr>
          <w:lang w:val="sq-AL"/>
        </w:rPr>
        <w:t xml:space="preserve"> </w:t>
      </w:r>
      <w:r w:rsidR="00AB27EB" w:rsidRPr="00D23A4D">
        <w:rPr>
          <w:lang w:val="sq-AL"/>
        </w:rPr>
        <w:t>mil</w:t>
      </w:r>
      <w:r w:rsidR="00AB27EB">
        <w:rPr>
          <w:lang w:val="sq-AL"/>
        </w:rPr>
        <w:t>€, pas aplikimit t</w:t>
      </w:r>
      <w:r w:rsidR="00AB27EB" w:rsidRPr="00AB27EB">
        <w:rPr>
          <w:rFonts w:cs="Calibri"/>
          <w:lang w:val="sq-AL"/>
        </w:rPr>
        <w:t>ë</w:t>
      </w:r>
      <w:r w:rsidR="00AB27EB">
        <w:rPr>
          <w:lang w:val="sq-AL"/>
        </w:rPr>
        <w:t xml:space="preserve"> norm</w:t>
      </w:r>
      <w:r w:rsidR="00AB27EB" w:rsidRPr="00AB27EB">
        <w:rPr>
          <w:rFonts w:cs="Calibri"/>
          <w:lang w:val="sq-AL"/>
        </w:rPr>
        <w:t>ë</w:t>
      </w:r>
      <w:r w:rsidR="00AB27EB">
        <w:rPr>
          <w:lang w:val="sq-AL"/>
        </w:rPr>
        <w:t>s s</w:t>
      </w:r>
      <w:r w:rsidR="00AB27EB" w:rsidRPr="00AB27EB">
        <w:rPr>
          <w:rFonts w:cs="Calibri"/>
          <w:lang w:val="sq-AL"/>
        </w:rPr>
        <w:t>ë</w:t>
      </w:r>
      <w:r w:rsidR="00AB27EB">
        <w:rPr>
          <w:lang w:val="sq-AL"/>
        </w:rPr>
        <w:t xml:space="preserve"> interesit rezulton t</w:t>
      </w:r>
      <w:r w:rsidR="00AB27EB" w:rsidRPr="00AB27EB">
        <w:rPr>
          <w:rFonts w:cs="Calibri"/>
          <w:lang w:val="sq-AL"/>
        </w:rPr>
        <w:t>ë</w:t>
      </w:r>
      <w:r w:rsidR="00AB27EB">
        <w:rPr>
          <w:lang w:val="sq-AL"/>
        </w:rPr>
        <w:t xml:space="preserve"> jet</w:t>
      </w:r>
      <w:r w:rsidR="00AB27EB" w:rsidRPr="00AB27EB">
        <w:rPr>
          <w:rFonts w:cs="Calibri"/>
          <w:lang w:val="sq-AL"/>
        </w:rPr>
        <w:t>ë</w:t>
      </w:r>
      <w:r w:rsidR="00AB27EB">
        <w:rPr>
          <w:lang w:val="sq-AL"/>
        </w:rPr>
        <w:t xml:space="preserve"> </w:t>
      </w:r>
      <w:r w:rsidR="00644781">
        <w:rPr>
          <w:lang w:val="sq-AL"/>
        </w:rPr>
        <w:t>–</w:t>
      </w:r>
      <w:r w:rsidR="006E51E6">
        <w:rPr>
          <w:lang w:val="sq-AL"/>
        </w:rPr>
        <w:t xml:space="preserve"> </w:t>
      </w:r>
      <w:r w:rsidR="000C382B">
        <w:rPr>
          <w:lang w:val="sq-AL"/>
        </w:rPr>
        <w:t>14.5</w:t>
      </w:r>
      <w:r w:rsidR="00644781">
        <w:rPr>
          <w:lang w:val="sq-AL"/>
        </w:rPr>
        <w:t xml:space="preserve"> </w:t>
      </w:r>
      <w:r w:rsidR="00AB27EB">
        <w:rPr>
          <w:lang w:val="sq-AL"/>
        </w:rPr>
        <w:t xml:space="preserve">mil€. </w:t>
      </w:r>
      <w:r w:rsidRPr="0050005A">
        <w:rPr>
          <w:lang w:val="sq-AL"/>
        </w:rPr>
        <w:t xml:space="preserve"> </w:t>
      </w:r>
      <w:r w:rsidR="00AB27EB">
        <w:rPr>
          <w:lang w:val="sq-AL"/>
        </w:rPr>
        <w:t>Ky ndryshim nd</w:t>
      </w:r>
      <w:r w:rsidR="00AB27EB" w:rsidRPr="006314FC">
        <w:rPr>
          <w:rFonts w:cs="Calibri"/>
          <w:lang w:val="sq-AL"/>
        </w:rPr>
        <w:t>ë</w:t>
      </w:r>
      <w:r w:rsidR="00AB27EB">
        <w:rPr>
          <w:lang w:val="sq-AL"/>
        </w:rPr>
        <w:t>rmjet t</w:t>
      </w:r>
      <w:r w:rsidR="00AB27EB" w:rsidRPr="006314FC">
        <w:rPr>
          <w:rFonts w:cs="Calibri"/>
          <w:lang w:val="sq-AL"/>
        </w:rPr>
        <w:t>ë</w:t>
      </w:r>
      <w:r w:rsidR="00AB27EB">
        <w:rPr>
          <w:lang w:val="sq-AL"/>
        </w:rPr>
        <w:t xml:space="preserve"> hyrave dhe kostove aktuale t</w:t>
      </w:r>
      <w:r w:rsidR="00AB27EB" w:rsidRPr="006314FC">
        <w:rPr>
          <w:rFonts w:cs="Calibri"/>
          <w:lang w:val="sq-AL"/>
        </w:rPr>
        <w:t>ë</w:t>
      </w:r>
      <w:r w:rsidR="00AB27EB">
        <w:rPr>
          <w:lang w:val="sq-AL"/>
        </w:rPr>
        <w:t xml:space="preserve"> lejuara bartet si azhurnim gjat</w:t>
      </w:r>
      <w:r w:rsidR="00AB27EB" w:rsidRPr="006314FC">
        <w:rPr>
          <w:rFonts w:cs="Calibri"/>
          <w:lang w:val="sq-AL"/>
        </w:rPr>
        <w:t>ë</w:t>
      </w:r>
      <w:r w:rsidR="00AB27EB">
        <w:rPr>
          <w:lang w:val="sq-AL"/>
        </w:rPr>
        <w:t xml:space="preserve"> p</w:t>
      </w:r>
      <w:r w:rsidR="00AB27EB" w:rsidRPr="006314FC">
        <w:rPr>
          <w:rFonts w:cs="Calibri"/>
          <w:lang w:val="sq-AL"/>
        </w:rPr>
        <w:t>ë</w:t>
      </w:r>
      <w:r w:rsidR="00AB27EB">
        <w:rPr>
          <w:lang w:val="sq-AL"/>
        </w:rPr>
        <w:t>rcaktimit t</w:t>
      </w:r>
      <w:r w:rsidR="00AB27EB" w:rsidRPr="006314FC">
        <w:rPr>
          <w:rFonts w:cs="Calibri"/>
          <w:lang w:val="sq-AL"/>
        </w:rPr>
        <w:t>ë</w:t>
      </w:r>
      <w:r w:rsidR="00AB27EB">
        <w:rPr>
          <w:lang w:val="sq-AL"/>
        </w:rPr>
        <w:t xml:space="preserve"> MAR p</w:t>
      </w:r>
      <w:r w:rsidR="00AB27EB" w:rsidRPr="006314FC">
        <w:rPr>
          <w:rFonts w:cs="Calibri"/>
          <w:lang w:val="sq-AL"/>
        </w:rPr>
        <w:t>ë</w:t>
      </w:r>
      <w:r w:rsidR="00AB27EB">
        <w:rPr>
          <w:lang w:val="sq-AL"/>
        </w:rPr>
        <w:t>r vitin 20</w:t>
      </w:r>
      <w:r w:rsidR="0098330D">
        <w:rPr>
          <w:lang w:val="sq-AL"/>
        </w:rPr>
        <w:t>2</w:t>
      </w:r>
      <w:r w:rsidR="00644781">
        <w:rPr>
          <w:lang w:val="sq-AL"/>
        </w:rPr>
        <w:t>1</w:t>
      </w:r>
      <w:r w:rsidR="00AB27EB">
        <w:rPr>
          <w:lang w:val="sq-AL"/>
        </w:rPr>
        <w:t>.</w:t>
      </w:r>
      <w:r w:rsidR="00EA7B27">
        <w:rPr>
          <w:lang w:val="sq-AL"/>
        </w:rPr>
        <w:t xml:space="preserve"> </w:t>
      </w:r>
    </w:p>
    <w:p w14:paraId="5D8B13B6" w14:textId="1FC3D743" w:rsidR="00417A40" w:rsidRPr="0050005A" w:rsidRDefault="00114A6C" w:rsidP="00417A40">
      <w:pPr>
        <w:pStyle w:val="Heading1"/>
        <w:rPr>
          <w:lang w:val="sq-AL"/>
        </w:rPr>
      </w:pPr>
      <w:bookmarkStart w:id="6" w:name="_Toc443060569"/>
      <w:bookmarkStart w:id="7" w:name="_Toc80691550"/>
      <w:r>
        <w:t>P</w:t>
      </w:r>
      <w:r>
        <w:t xml:space="preserve">redlog za maksimalno dozvoljeni prihod ODS-a </w:t>
      </w:r>
      <w:bookmarkEnd w:id="6"/>
      <w:bookmarkEnd w:id="7"/>
    </w:p>
    <w:p w14:paraId="3B801F02" w14:textId="0531D311" w:rsidR="00417A40" w:rsidRPr="0050005A" w:rsidRDefault="00EA5DA3" w:rsidP="00417A40">
      <w:pPr>
        <w:jc w:val="both"/>
        <w:rPr>
          <w:lang w:val="sq-AL"/>
        </w:rPr>
      </w:pPr>
      <w:r>
        <w:t>Maksimalno dozvoljeni prihod za ODS-a su proračunati prema sledećoj formuli</w:t>
      </w:r>
      <w:r w:rsidR="00417A40" w:rsidRPr="0050005A">
        <w:rPr>
          <w:lang w:val="sq-AL"/>
        </w:rPr>
        <w:t>:</w:t>
      </w:r>
    </w:p>
    <w:p w14:paraId="3D326D2A" w14:textId="77777777" w:rsidR="00D31A61" w:rsidRDefault="00D31A61" w:rsidP="00417A40">
      <w:pPr>
        <w:pStyle w:val="TextS"/>
        <w:ind w:firstLine="0"/>
        <w:rPr>
          <w:i/>
          <w:lang w:val="sq-AL"/>
        </w:rPr>
      </w:pPr>
      <w:r w:rsidRPr="00D31A61">
        <w:rPr>
          <w:i/>
          <w:lang w:val="sq-AL"/>
        </w:rPr>
        <w:t xml:space="preserve">MARt = OPMCt + DEPCt + RTNCt + LSSCt + LICCt -NTFR t +ADJt +KREVt </w:t>
      </w:r>
    </w:p>
    <w:p w14:paraId="5292AB24" w14:textId="77777777" w:rsidR="00417A40" w:rsidRPr="0050005A" w:rsidRDefault="00417A40" w:rsidP="00417A40">
      <w:pPr>
        <w:pStyle w:val="TextS"/>
        <w:ind w:firstLine="0"/>
        <w:rPr>
          <w:i/>
          <w:lang w:val="sq-AL"/>
        </w:rPr>
      </w:pPr>
      <w:r w:rsidRPr="0050005A">
        <w:rPr>
          <w:i/>
          <w:lang w:val="sq-AL"/>
        </w:rPr>
        <w:t>Ku</w:t>
      </w:r>
    </w:p>
    <w:p w14:paraId="5FBC5779" w14:textId="14F806B9" w:rsidR="00417A40" w:rsidRPr="0050005A" w:rsidRDefault="00417A40" w:rsidP="00417A40">
      <w:pPr>
        <w:pStyle w:val="Equation"/>
        <w:rPr>
          <w:lang w:val="sq-AL"/>
        </w:rPr>
      </w:pPr>
      <w:r w:rsidRPr="0050005A">
        <w:rPr>
          <w:lang w:val="sq-AL"/>
        </w:rPr>
        <w:lastRenderedPageBreak/>
        <w:t>MAR</w:t>
      </w:r>
      <w:r w:rsidRPr="0050005A">
        <w:rPr>
          <w:vertAlign w:val="subscript"/>
          <w:lang w:val="sq-AL"/>
        </w:rPr>
        <w:t>t</w:t>
      </w:r>
      <w:r w:rsidRPr="0050005A">
        <w:rPr>
          <w:lang w:val="sq-AL"/>
        </w:rPr>
        <w:tab/>
      </w:r>
      <w:r w:rsidR="00EA5DA3">
        <w:t>su maksimalno dozvoljeni prihodi u odgovarajućoj godini t</w:t>
      </w:r>
      <w:r w:rsidRPr="0050005A">
        <w:rPr>
          <w:lang w:val="sq-AL"/>
        </w:rPr>
        <w:t xml:space="preserve"> </w:t>
      </w:r>
    </w:p>
    <w:p w14:paraId="57749D2A" w14:textId="0F443759" w:rsidR="00417A40" w:rsidRPr="0050005A" w:rsidRDefault="00417A40" w:rsidP="00417A40">
      <w:pPr>
        <w:pStyle w:val="Equation"/>
        <w:rPr>
          <w:lang w:val="sq-AL"/>
        </w:rPr>
      </w:pPr>
      <w:r w:rsidRPr="0050005A">
        <w:rPr>
          <w:lang w:val="sq-AL"/>
        </w:rPr>
        <w:t>OPMC</w:t>
      </w:r>
      <w:r w:rsidRPr="0050005A">
        <w:rPr>
          <w:vertAlign w:val="subscript"/>
          <w:lang w:val="sq-AL"/>
        </w:rPr>
        <w:t>t</w:t>
      </w:r>
      <w:r w:rsidR="00EA5DA3">
        <w:rPr>
          <w:lang w:val="sq-AL"/>
        </w:rPr>
        <w:tab/>
      </w:r>
      <w:r w:rsidR="00EA5DA3">
        <w:t>su dozvoljeni operativni troškovi i održavanja u relevantnoj godini</w:t>
      </w:r>
      <w:r w:rsidRPr="0050005A">
        <w:rPr>
          <w:lang w:val="sq-AL"/>
        </w:rPr>
        <w:t xml:space="preserve"> t</w:t>
      </w:r>
    </w:p>
    <w:p w14:paraId="2FBE36CA" w14:textId="4899428B" w:rsidR="00417A40" w:rsidRPr="0050005A" w:rsidRDefault="00417A40" w:rsidP="00417A40">
      <w:pPr>
        <w:pStyle w:val="Equation"/>
        <w:rPr>
          <w:lang w:val="sq-AL"/>
        </w:rPr>
      </w:pPr>
      <w:r w:rsidRPr="0050005A">
        <w:rPr>
          <w:lang w:val="sq-AL"/>
        </w:rPr>
        <w:t>DEPC</w:t>
      </w:r>
      <w:r w:rsidRPr="0050005A">
        <w:rPr>
          <w:vertAlign w:val="subscript"/>
          <w:lang w:val="sq-AL"/>
        </w:rPr>
        <w:t>t</w:t>
      </w:r>
      <w:r w:rsidR="00EA5DA3">
        <w:rPr>
          <w:lang w:val="sq-AL"/>
        </w:rPr>
        <w:tab/>
      </w:r>
      <w:r w:rsidR="00EA5DA3">
        <w:t>je dozvoljena amortizacija u relevantnoj godini</w:t>
      </w:r>
      <w:r w:rsidRPr="0050005A">
        <w:rPr>
          <w:lang w:val="sq-AL"/>
        </w:rPr>
        <w:t xml:space="preserve"> t</w:t>
      </w:r>
    </w:p>
    <w:p w14:paraId="2F48B7C1" w14:textId="7F4AADE1" w:rsidR="00417A40" w:rsidRPr="0050005A" w:rsidRDefault="00417A40" w:rsidP="00417A40">
      <w:pPr>
        <w:pStyle w:val="Equation"/>
        <w:rPr>
          <w:lang w:val="sq-AL"/>
        </w:rPr>
      </w:pPr>
      <w:r w:rsidRPr="0050005A">
        <w:rPr>
          <w:lang w:val="sq-AL"/>
        </w:rPr>
        <w:t>RTNC</w:t>
      </w:r>
      <w:r w:rsidRPr="0050005A">
        <w:rPr>
          <w:vertAlign w:val="subscript"/>
          <w:lang w:val="sq-AL"/>
        </w:rPr>
        <w:t>t</w:t>
      </w:r>
      <w:r w:rsidR="00EA5DA3">
        <w:rPr>
          <w:lang w:val="sq-AL"/>
        </w:rPr>
        <w:tab/>
      </w:r>
      <w:r w:rsidR="00EA5DA3">
        <w:t>je dozvoljen povrat na kapital u relevantnoj godini</w:t>
      </w:r>
      <w:r w:rsidRPr="0050005A">
        <w:rPr>
          <w:lang w:val="sq-AL"/>
        </w:rPr>
        <w:t xml:space="preserve"> t</w:t>
      </w:r>
    </w:p>
    <w:p w14:paraId="13BE2ED3" w14:textId="38A3B022" w:rsidR="00417A40" w:rsidRPr="0050005A" w:rsidRDefault="00417A40" w:rsidP="00417A40">
      <w:pPr>
        <w:pStyle w:val="Equation"/>
        <w:rPr>
          <w:lang w:val="sq-AL"/>
        </w:rPr>
      </w:pPr>
      <w:r w:rsidRPr="0050005A">
        <w:rPr>
          <w:lang w:val="sq-AL"/>
        </w:rPr>
        <w:t>LSSC</w:t>
      </w:r>
      <w:r w:rsidRPr="0050005A">
        <w:rPr>
          <w:vertAlign w:val="subscript"/>
          <w:lang w:val="sq-AL"/>
        </w:rPr>
        <w:t>t</w:t>
      </w:r>
      <w:r w:rsidRPr="0050005A">
        <w:rPr>
          <w:vertAlign w:val="subscript"/>
          <w:lang w:val="sq-AL"/>
        </w:rPr>
        <w:tab/>
      </w:r>
      <w:r w:rsidR="00EA5DA3">
        <w:t>je dozvoljeni trošak gubitaka u relevantnoj godini</w:t>
      </w:r>
      <w:r w:rsidRPr="0050005A">
        <w:rPr>
          <w:lang w:val="sq-AL"/>
        </w:rPr>
        <w:t xml:space="preserve"> t </w:t>
      </w:r>
    </w:p>
    <w:p w14:paraId="0217019D" w14:textId="75CCFEA5" w:rsidR="00417A40" w:rsidRDefault="00417A40" w:rsidP="00417A40">
      <w:pPr>
        <w:pStyle w:val="Equation"/>
        <w:rPr>
          <w:lang w:val="sq-AL"/>
        </w:rPr>
      </w:pPr>
      <w:r w:rsidRPr="0050005A">
        <w:rPr>
          <w:lang w:val="sq-AL"/>
        </w:rPr>
        <w:t>LICC</w:t>
      </w:r>
      <w:r w:rsidRPr="0050005A">
        <w:rPr>
          <w:vertAlign w:val="subscript"/>
          <w:lang w:val="sq-AL"/>
        </w:rPr>
        <w:t>t</w:t>
      </w:r>
      <w:r w:rsidR="00EA5DA3">
        <w:rPr>
          <w:lang w:val="sq-AL"/>
        </w:rPr>
        <w:tab/>
      </w:r>
      <w:r w:rsidR="00EA5DA3">
        <w:t>je poreski trošak za licencu u relevantnoj godini</w:t>
      </w:r>
      <w:r w:rsidR="00EA5DA3" w:rsidRPr="0050005A">
        <w:rPr>
          <w:lang w:val="sq-AL"/>
        </w:rPr>
        <w:t xml:space="preserve"> </w:t>
      </w:r>
      <w:r w:rsidRPr="0050005A">
        <w:rPr>
          <w:lang w:val="sq-AL"/>
        </w:rPr>
        <w:t xml:space="preserve">t </w:t>
      </w:r>
    </w:p>
    <w:p w14:paraId="47A596E9" w14:textId="72E81ABD" w:rsidR="00D31A61" w:rsidRPr="0009487F" w:rsidRDefault="00D31A61" w:rsidP="00D31A61">
      <w:pPr>
        <w:ind w:left="720"/>
        <w:rPr>
          <w:rFonts w:eastAsia="Times New Roman"/>
          <w:i/>
          <w:szCs w:val="24"/>
          <w:lang w:val="sq-AL" w:eastAsia="en-GB"/>
        </w:rPr>
      </w:pPr>
      <w:r w:rsidRPr="0009487F">
        <w:rPr>
          <w:rFonts w:eastAsia="Times New Roman"/>
          <w:i/>
          <w:szCs w:val="24"/>
          <w:lang w:val="sq-AL" w:eastAsia="en-GB"/>
        </w:rPr>
        <w:t xml:space="preserve">ADJt                   </w:t>
      </w:r>
      <w:r w:rsidR="00EA5DA3">
        <w:rPr>
          <w:rFonts w:eastAsia="Times New Roman"/>
          <w:i/>
          <w:szCs w:val="24"/>
          <w:lang w:val="sq-AL" w:eastAsia="en-GB"/>
        </w:rPr>
        <w:t xml:space="preserve"> </w:t>
      </w:r>
      <w:r w:rsidR="00EA5DA3" w:rsidRPr="00EA5DA3">
        <w:rPr>
          <w:i/>
        </w:rPr>
        <w:t>je</w:t>
      </w:r>
      <w:r w:rsidR="00EA5DA3">
        <w:t xml:space="preserve"> prilagođenost potrošnje</w:t>
      </w:r>
      <w:r w:rsidRPr="0009487F">
        <w:rPr>
          <w:rFonts w:eastAsia="Times New Roman"/>
          <w:i/>
          <w:szCs w:val="24"/>
          <w:lang w:val="sq-AL" w:eastAsia="en-GB"/>
        </w:rPr>
        <w:t xml:space="preserve"> </w:t>
      </w:r>
    </w:p>
    <w:p w14:paraId="369B4F4D" w14:textId="23387ADB" w:rsidR="00417A40" w:rsidRPr="0050005A" w:rsidRDefault="00417A40" w:rsidP="00417A40">
      <w:pPr>
        <w:pStyle w:val="Equation"/>
        <w:rPr>
          <w:lang w:val="sq-AL"/>
        </w:rPr>
      </w:pPr>
      <w:r w:rsidRPr="0050005A">
        <w:rPr>
          <w:lang w:val="sq-AL"/>
        </w:rPr>
        <w:t>KREV</w:t>
      </w:r>
      <w:r w:rsidRPr="0050005A">
        <w:rPr>
          <w:vertAlign w:val="subscript"/>
          <w:lang w:val="sq-AL"/>
        </w:rPr>
        <w:t>t</w:t>
      </w:r>
      <w:r w:rsidR="00EA5DA3">
        <w:rPr>
          <w:lang w:val="sq-AL"/>
        </w:rPr>
        <w:tab/>
      </w:r>
      <w:r w:rsidR="00EA5DA3">
        <w:t>je faktor korekcije prihoda u relevantnoj godini</w:t>
      </w:r>
      <w:r w:rsidRPr="0050005A">
        <w:rPr>
          <w:lang w:val="sq-AL"/>
        </w:rPr>
        <w:t xml:space="preserve"> t</w:t>
      </w:r>
    </w:p>
    <w:p w14:paraId="6D39360E" w14:textId="2241062F" w:rsidR="00D14FA8" w:rsidRDefault="00EA5DA3" w:rsidP="00CA3D1A">
      <w:pPr>
        <w:rPr>
          <w:rFonts w:cs="Calibri"/>
          <w:lang w:val="sq-AL"/>
        </w:rPr>
      </w:pPr>
      <w:r>
        <w:t>Proračun svake od ovih komponenti razmatrana je u nastavku</w:t>
      </w:r>
      <w:r w:rsidR="00417A40" w:rsidRPr="0050005A">
        <w:rPr>
          <w:rFonts w:cs="Calibri"/>
          <w:lang w:val="sq-AL"/>
        </w:rPr>
        <w:t>.</w:t>
      </w:r>
    </w:p>
    <w:p w14:paraId="1E814620" w14:textId="6869E0AA" w:rsidR="00D14FA8" w:rsidRPr="0050005A" w:rsidRDefault="00EA5DA3" w:rsidP="00D14FA8">
      <w:pPr>
        <w:spacing w:after="0" w:line="240" w:lineRule="auto"/>
        <w:jc w:val="both"/>
        <w:rPr>
          <w:lang w:val="sq-AL"/>
        </w:rPr>
      </w:pPr>
      <w:r w:rsidRPr="00EA5DA3">
        <w:rPr>
          <w:lang w:val="sq-AL"/>
        </w:rPr>
        <w:t xml:space="preserve">Kao rezultat proračuna svake komponente troškova, predloženi MAR za ODS za 2021. </w:t>
      </w:r>
      <w:r w:rsidR="00C671A6">
        <w:rPr>
          <w:lang w:val="sq-AL"/>
        </w:rPr>
        <w:t>godinu iznosi 81,44 miliona</w:t>
      </w:r>
      <w:r>
        <w:rPr>
          <w:lang w:val="sq-AL"/>
        </w:rPr>
        <w:t>€</w:t>
      </w:r>
      <w:r w:rsidRPr="00EA5DA3">
        <w:rPr>
          <w:lang w:val="sq-AL"/>
        </w:rPr>
        <w:t>.</w:t>
      </w:r>
    </w:p>
    <w:p w14:paraId="438B37FF" w14:textId="5B126F00" w:rsidR="00825B07" w:rsidRDefault="00825B07" w:rsidP="00CA3D1A">
      <w:pPr>
        <w:rPr>
          <w:lang w:val="sq-AL"/>
        </w:rPr>
      </w:pPr>
      <w:r>
        <w:rPr>
          <w:lang w:val="sq-AL"/>
        </w:rPr>
        <w:br w:type="page"/>
      </w:r>
    </w:p>
    <w:p w14:paraId="1764FEAF" w14:textId="5B8467E9" w:rsidR="00EF4C2C" w:rsidRPr="0050005A" w:rsidRDefault="00EF4C2C" w:rsidP="00EF4C2C">
      <w:pPr>
        <w:pStyle w:val="Caption"/>
        <w:spacing w:after="0"/>
        <w:rPr>
          <w:lang w:val="sq-AL"/>
        </w:rPr>
      </w:pPr>
      <w:r w:rsidRPr="00825B07">
        <w:rPr>
          <w:lang w:val="sq-AL"/>
        </w:rPr>
        <w:lastRenderedPageBreak/>
        <w:t xml:space="preserve">Tabela </w:t>
      </w:r>
      <w:r w:rsidR="00E202B8" w:rsidRPr="00825B07">
        <w:rPr>
          <w:lang w:val="sq-AL"/>
        </w:rPr>
        <w:fldChar w:fldCharType="begin"/>
      </w:r>
      <w:r w:rsidRPr="00825B07">
        <w:rPr>
          <w:lang w:val="sq-AL"/>
        </w:rPr>
        <w:instrText xml:space="preserve"> SEQ Table \* ARABIC </w:instrText>
      </w:r>
      <w:r w:rsidR="00E202B8" w:rsidRPr="00825B07">
        <w:rPr>
          <w:lang w:val="sq-AL"/>
        </w:rPr>
        <w:fldChar w:fldCharType="separate"/>
      </w:r>
      <w:r w:rsidRPr="00825B07">
        <w:rPr>
          <w:lang w:val="sq-AL"/>
        </w:rPr>
        <w:t>4</w:t>
      </w:r>
      <w:r w:rsidR="00E202B8" w:rsidRPr="00825B07">
        <w:rPr>
          <w:lang w:val="sq-AL"/>
        </w:rPr>
        <w:fldChar w:fldCharType="end"/>
      </w:r>
      <w:r w:rsidRPr="00825B07">
        <w:rPr>
          <w:lang w:val="sq-AL"/>
        </w:rPr>
        <w:t xml:space="preserve"> </w:t>
      </w:r>
      <w:r w:rsidR="00A15416">
        <w:t>Predlog MAR od ODS (KEDS)nakon prilagođavanja</w:t>
      </w:r>
    </w:p>
    <w:tbl>
      <w:tblPr>
        <w:tblW w:w="9195" w:type="dxa"/>
        <w:tblLook w:val="04A0" w:firstRow="1" w:lastRow="0" w:firstColumn="1" w:lastColumn="0" w:noHBand="0" w:noVBand="1"/>
      </w:tblPr>
      <w:tblGrid>
        <w:gridCol w:w="5445"/>
        <w:gridCol w:w="862"/>
        <w:gridCol w:w="1114"/>
        <w:gridCol w:w="1114"/>
        <w:gridCol w:w="1125"/>
      </w:tblGrid>
      <w:tr w:rsidR="004375B5" w:rsidRPr="00765B5D" w14:paraId="3190A563" w14:textId="77777777" w:rsidTr="00D14FA8">
        <w:trPr>
          <w:trHeight w:val="471"/>
        </w:trPr>
        <w:tc>
          <w:tcPr>
            <w:tcW w:w="5445" w:type="dxa"/>
            <w:tcBorders>
              <w:top w:val="nil"/>
              <w:left w:val="nil"/>
              <w:bottom w:val="nil"/>
              <w:right w:val="nil"/>
            </w:tcBorders>
            <w:shd w:val="clear" w:color="000000" w:fill="002060"/>
            <w:noWrap/>
            <w:vAlign w:val="center"/>
            <w:hideMark/>
          </w:tcPr>
          <w:p w14:paraId="188B3719" w14:textId="42F79757" w:rsidR="004375B5" w:rsidRPr="00765B5D" w:rsidRDefault="00A15416" w:rsidP="00C23153">
            <w:pPr>
              <w:spacing w:after="0" w:line="240" w:lineRule="auto"/>
              <w:rPr>
                <w:rFonts w:asciiTheme="minorHAnsi" w:eastAsia="Times New Roman" w:hAnsiTheme="minorHAnsi" w:cstheme="minorHAnsi"/>
                <w:color w:val="FFFFFF"/>
                <w:sz w:val="20"/>
                <w:szCs w:val="20"/>
                <w:lang w:val="sq-AL"/>
              </w:rPr>
            </w:pPr>
            <w:r w:rsidRPr="00A15416">
              <w:rPr>
                <w:rFonts w:asciiTheme="minorHAnsi" w:eastAsia="Times New Roman" w:hAnsiTheme="minorHAnsi" w:cstheme="minorHAnsi"/>
                <w:color w:val="FFFFFF"/>
                <w:sz w:val="20"/>
                <w:szCs w:val="20"/>
                <w:lang w:val="sq-AL"/>
              </w:rPr>
              <w:t>Maksimalno dozvoljeni prihodi</w:t>
            </w:r>
            <w:r w:rsidR="004375B5">
              <w:rPr>
                <w:rFonts w:asciiTheme="minorHAnsi" w:eastAsia="Times New Roman" w:hAnsiTheme="minorHAnsi" w:cstheme="minorHAnsi"/>
                <w:color w:val="FFFFFF"/>
                <w:sz w:val="20"/>
                <w:szCs w:val="20"/>
                <w:lang w:val="sq-AL"/>
              </w:rPr>
              <w:t xml:space="preserve"> (mil€)</w:t>
            </w:r>
          </w:p>
        </w:tc>
        <w:tc>
          <w:tcPr>
            <w:tcW w:w="917" w:type="dxa"/>
            <w:tcBorders>
              <w:top w:val="nil"/>
              <w:left w:val="nil"/>
              <w:bottom w:val="nil"/>
              <w:right w:val="nil"/>
            </w:tcBorders>
            <w:shd w:val="clear" w:color="000000" w:fill="002060"/>
          </w:tcPr>
          <w:p w14:paraId="0A3CCE71" w14:textId="79C30A50" w:rsidR="004375B5" w:rsidRPr="00765B5D" w:rsidRDefault="00A15416" w:rsidP="00644781">
            <w:pPr>
              <w:spacing w:after="0" w:line="240" w:lineRule="auto"/>
              <w:jc w:val="center"/>
              <w:rPr>
                <w:rFonts w:asciiTheme="minorHAnsi" w:eastAsia="Times New Roman" w:hAnsiTheme="minorHAnsi" w:cstheme="minorHAnsi"/>
                <w:color w:val="FFFFFF"/>
                <w:sz w:val="20"/>
                <w:szCs w:val="20"/>
                <w:lang w:val="sq-AL"/>
              </w:rPr>
            </w:pPr>
            <w:r>
              <w:rPr>
                <w:rFonts w:asciiTheme="minorHAnsi" w:eastAsia="Times New Roman" w:hAnsiTheme="minorHAnsi" w:cstheme="minorHAnsi"/>
                <w:color w:val="FFFFFF"/>
                <w:sz w:val="20"/>
                <w:szCs w:val="20"/>
                <w:lang w:val="sq-AL"/>
              </w:rPr>
              <w:t>Jedinica</w:t>
            </w:r>
          </w:p>
        </w:tc>
        <w:tc>
          <w:tcPr>
            <w:tcW w:w="852" w:type="dxa"/>
            <w:tcBorders>
              <w:top w:val="nil"/>
              <w:left w:val="nil"/>
              <w:bottom w:val="nil"/>
              <w:right w:val="nil"/>
            </w:tcBorders>
            <w:shd w:val="clear" w:color="000000" w:fill="002060"/>
            <w:vAlign w:val="center"/>
            <w:hideMark/>
          </w:tcPr>
          <w:p w14:paraId="2FCD846A" w14:textId="24E42632" w:rsidR="004375B5" w:rsidRPr="00765B5D" w:rsidRDefault="00A15416" w:rsidP="00644781">
            <w:pPr>
              <w:spacing w:after="0" w:line="240" w:lineRule="auto"/>
              <w:jc w:val="center"/>
              <w:rPr>
                <w:rFonts w:asciiTheme="minorHAnsi" w:eastAsia="Times New Roman" w:hAnsiTheme="minorHAnsi" w:cstheme="minorHAnsi"/>
                <w:color w:val="FFFFFF"/>
                <w:sz w:val="20"/>
                <w:szCs w:val="20"/>
                <w:lang w:val="sq-AL"/>
              </w:rPr>
            </w:pPr>
            <w:r>
              <w:rPr>
                <w:rFonts w:asciiTheme="minorHAnsi" w:eastAsia="Times New Roman" w:hAnsiTheme="minorHAnsi" w:cstheme="minorHAnsi"/>
                <w:color w:val="FFFFFF"/>
                <w:sz w:val="20"/>
                <w:szCs w:val="20"/>
                <w:lang w:val="sq-AL"/>
              </w:rPr>
              <w:t>Dozvoljena</w:t>
            </w:r>
            <w:r w:rsidR="004375B5" w:rsidRPr="00765B5D">
              <w:rPr>
                <w:rFonts w:asciiTheme="minorHAnsi" w:eastAsia="Times New Roman" w:hAnsiTheme="minorHAnsi" w:cstheme="minorHAnsi"/>
                <w:color w:val="FFFFFF"/>
                <w:sz w:val="20"/>
                <w:szCs w:val="20"/>
                <w:lang w:val="sq-AL"/>
              </w:rPr>
              <w:t xml:space="preserve"> 201</w:t>
            </w:r>
            <w:r w:rsidR="004375B5">
              <w:rPr>
                <w:rFonts w:asciiTheme="minorHAnsi" w:eastAsia="Times New Roman" w:hAnsiTheme="minorHAnsi" w:cstheme="minorHAnsi"/>
                <w:color w:val="FFFFFF"/>
                <w:sz w:val="20"/>
                <w:szCs w:val="20"/>
                <w:lang w:val="sq-AL"/>
              </w:rPr>
              <w:t>9</w:t>
            </w:r>
          </w:p>
        </w:tc>
        <w:tc>
          <w:tcPr>
            <w:tcW w:w="932" w:type="dxa"/>
            <w:tcBorders>
              <w:top w:val="nil"/>
              <w:left w:val="nil"/>
              <w:bottom w:val="nil"/>
              <w:right w:val="nil"/>
            </w:tcBorders>
            <w:shd w:val="clear" w:color="000000" w:fill="002060"/>
            <w:vAlign w:val="center"/>
            <w:hideMark/>
          </w:tcPr>
          <w:p w14:paraId="7A5D912C" w14:textId="2C3068EC" w:rsidR="004375B5" w:rsidRPr="00765B5D" w:rsidRDefault="00A15416" w:rsidP="00644781">
            <w:pPr>
              <w:spacing w:after="0" w:line="240" w:lineRule="auto"/>
              <w:jc w:val="center"/>
              <w:rPr>
                <w:rFonts w:asciiTheme="minorHAnsi" w:eastAsia="Times New Roman" w:hAnsiTheme="minorHAnsi" w:cstheme="minorHAnsi"/>
                <w:color w:val="FFFFFF"/>
                <w:sz w:val="20"/>
                <w:szCs w:val="20"/>
                <w:lang w:val="sq-AL"/>
              </w:rPr>
            </w:pPr>
            <w:r>
              <w:rPr>
                <w:rFonts w:asciiTheme="minorHAnsi" w:eastAsia="Times New Roman" w:hAnsiTheme="minorHAnsi" w:cstheme="minorHAnsi"/>
                <w:color w:val="FFFFFF"/>
                <w:sz w:val="20"/>
                <w:szCs w:val="20"/>
                <w:lang w:val="sq-AL"/>
              </w:rPr>
              <w:t>Dozvoljena</w:t>
            </w:r>
            <w:r w:rsidR="004375B5" w:rsidRPr="00765B5D">
              <w:rPr>
                <w:rFonts w:asciiTheme="minorHAnsi" w:eastAsia="Times New Roman" w:hAnsiTheme="minorHAnsi" w:cstheme="minorHAnsi"/>
                <w:color w:val="FFFFFF"/>
                <w:sz w:val="20"/>
                <w:szCs w:val="20"/>
                <w:lang w:val="sq-AL"/>
              </w:rPr>
              <w:t xml:space="preserve"> 20</w:t>
            </w:r>
            <w:r w:rsidR="004375B5">
              <w:rPr>
                <w:rFonts w:asciiTheme="minorHAnsi" w:eastAsia="Times New Roman" w:hAnsiTheme="minorHAnsi" w:cstheme="minorHAnsi"/>
                <w:color w:val="FFFFFF"/>
                <w:sz w:val="20"/>
                <w:szCs w:val="20"/>
                <w:lang w:val="sq-AL"/>
              </w:rPr>
              <w:t>20</w:t>
            </w:r>
          </w:p>
        </w:tc>
        <w:tc>
          <w:tcPr>
            <w:tcW w:w="1049" w:type="dxa"/>
            <w:tcBorders>
              <w:top w:val="nil"/>
              <w:left w:val="nil"/>
              <w:bottom w:val="nil"/>
              <w:right w:val="nil"/>
            </w:tcBorders>
            <w:shd w:val="clear" w:color="000000" w:fill="002060"/>
            <w:vAlign w:val="center"/>
            <w:hideMark/>
          </w:tcPr>
          <w:p w14:paraId="72974DCD" w14:textId="6C3A5D8D" w:rsidR="004375B5" w:rsidRPr="00765B5D" w:rsidRDefault="00A15416" w:rsidP="00644781">
            <w:pPr>
              <w:spacing w:after="0" w:line="240" w:lineRule="auto"/>
              <w:jc w:val="center"/>
              <w:rPr>
                <w:rFonts w:asciiTheme="minorHAnsi" w:eastAsia="Times New Roman" w:hAnsiTheme="minorHAnsi" w:cstheme="minorHAnsi"/>
                <w:color w:val="FFFFFF"/>
                <w:sz w:val="20"/>
                <w:szCs w:val="20"/>
                <w:lang w:val="sq-AL"/>
              </w:rPr>
            </w:pPr>
            <w:r w:rsidRPr="00A15416">
              <w:rPr>
                <w:sz w:val="20"/>
                <w:szCs w:val="20"/>
              </w:rPr>
              <w:t>Predložena</w:t>
            </w:r>
            <w:r w:rsidR="004375B5" w:rsidRPr="00765B5D">
              <w:rPr>
                <w:rFonts w:asciiTheme="minorHAnsi" w:eastAsia="Times New Roman" w:hAnsiTheme="minorHAnsi" w:cstheme="minorHAnsi"/>
                <w:color w:val="FFFFFF"/>
                <w:sz w:val="20"/>
                <w:szCs w:val="20"/>
                <w:lang w:val="sq-AL"/>
              </w:rPr>
              <w:t xml:space="preserve"> 202</w:t>
            </w:r>
            <w:r w:rsidR="004375B5">
              <w:rPr>
                <w:rFonts w:asciiTheme="minorHAnsi" w:eastAsia="Times New Roman" w:hAnsiTheme="minorHAnsi" w:cstheme="minorHAnsi"/>
                <w:color w:val="FFFFFF"/>
                <w:sz w:val="20"/>
                <w:szCs w:val="20"/>
                <w:lang w:val="sq-AL"/>
              </w:rPr>
              <w:t>1</w:t>
            </w:r>
          </w:p>
        </w:tc>
      </w:tr>
      <w:tr w:rsidR="004375B5" w:rsidRPr="00765B5D" w14:paraId="587F78E0" w14:textId="77777777" w:rsidTr="00D14FA8">
        <w:trPr>
          <w:trHeight w:val="236"/>
        </w:trPr>
        <w:tc>
          <w:tcPr>
            <w:tcW w:w="5445" w:type="dxa"/>
            <w:tcBorders>
              <w:top w:val="nil"/>
              <w:left w:val="nil"/>
              <w:bottom w:val="nil"/>
              <w:right w:val="nil"/>
            </w:tcBorders>
            <w:shd w:val="clear" w:color="000000" w:fill="DBE5F1"/>
            <w:noWrap/>
            <w:vAlign w:val="center"/>
            <w:hideMark/>
          </w:tcPr>
          <w:p w14:paraId="1525A0CF" w14:textId="288698E9" w:rsidR="004375B5" w:rsidRPr="00A15416" w:rsidRDefault="00A15416" w:rsidP="00310EE8">
            <w:pPr>
              <w:spacing w:after="0" w:line="240" w:lineRule="auto"/>
              <w:rPr>
                <w:rFonts w:asciiTheme="minorHAnsi" w:eastAsia="Times New Roman" w:hAnsiTheme="minorHAnsi" w:cstheme="minorHAnsi"/>
                <w:b/>
                <w:bCs/>
                <w:sz w:val="20"/>
                <w:szCs w:val="20"/>
                <w:lang w:val="sq-AL"/>
              </w:rPr>
            </w:pPr>
            <w:r w:rsidRPr="00A15416">
              <w:rPr>
                <w:b/>
                <w:sz w:val="20"/>
                <w:szCs w:val="20"/>
              </w:rPr>
              <w:t>Parametri indeksiranja</w:t>
            </w:r>
          </w:p>
        </w:tc>
        <w:tc>
          <w:tcPr>
            <w:tcW w:w="917" w:type="dxa"/>
            <w:tcBorders>
              <w:top w:val="nil"/>
              <w:left w:val="nil"/>
              <w:bottom w:val="single" w:sz="4" w:space="0" w:color="auto"/>
              <w:right w:val="nil"/>
            </w:tcBorders>
            <w:shd w:val="clear" w:color="000000" w:fill="DBE5F1"/>
          </w:tcPr>
          <w:p w14:paraId="7AB6455C"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000000" w:fill="DBE5F1"/>
            <w:noWrap/>
            <w:vAlign w:val="center"/>
            <w:hideMark/>
          </w:tcPr>
          <w:p w14:paraId="5F96D082" w14:textId="59C8782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single" w:sz="4" w:space="0" w:color="auto"/>
              <w:right w:val="nil"/>
            </w:tcBorders>
            <w:shd w:val="clear" w:color="000000" w:fill="DBE5F1"/>
            <w:noWrap/>
            <w:vAlign w:val="center"/>
            <w:hideMark/>
          </w:tcPr>
          <w:p w14:paraId="37C9E49E"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single" w:sz="4" w:space="0" w:color="auto"/>
              <w:right w:val="nil"/>
            </w:tcBorders>
            <w:shd w:val="clear" w:color="000000" w:fill="DBE5F1"/>
            <w:noWrap/>
            <w:vAlign w:val="center"/>
            <w:hideMark/>
          </w:tcPr>
          <w:p w14:paraId="57544F9F"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r>
      <w:tr w:rsidR="004375B5" w:rsidRPr="00765B5D" w14:paraId="3A524044" w14:textId="77777777" w:rsidTr="00D14FA8">
        <w:trPr>
          <w:trHeight w:val="236"/>
        </w:trPr>
        <w:tc>
          <w:tcPr>
            <w:tcW w:w="5445" w:type="dxa"/>
            <w:tcBorders>
              <w:top w:val="nil"/>
              <w:left w:val="nil"/>
              <w:bottom w:val="nil"/>
              <w:right w:val="single" w:sz="4" w:space="0" w:color="auto"/>
            </w:tcBorders>
            <w:shd w:val="clear" w:color="000000" w:fill="FFFFFF"/>
            <w:noWrap/>
            <w:vAlign w:val="center"/>
            <w:hideMark/>
          </w:tcPr>
          <w:p w14:paraId="2D4D1BB8" w14:textId="281C1920" w:rsidR="004375B5" w:rsidRPr="00A15416" w:rsidRDefault="00A15416" w:rsidP="00644781">
            <w:pPr>
              <w:spacing w:after="0" w:line="240" w:lineRule="auto"/>
              <w:rPr>
                <w:rFonts w:asciiTheme="minorHAnsi" w:eastAsia="Times New Roman" w:hAnsiTheme="minorHAnsi" w:cstheme="minorHAnsi"/>
                <w:sz w:val="20"/>
                <w:szCs w:val="20"/>
                <w:lang w:val="sq-AL"/>
              </w:rPr>
            </w:pPr>
            <w:r w:rsidRPr="00A15416">
              <w:rPr>
                <w:sz w:val="20"/>
                <w:szCs w:val="20"/>
              </w:rPr>
              <w:t>Efikasni faktor</w:t>
            </w:r>
          </w:p>
        </w:tc>
        <w:tc>
          <w:tcPr>
            <w:tcW w:w="917" w:type="dxa"/>
            <w:tcBorders>
              <w:top w:val="single" w:sz="4" w:space="0" w:color="auto"/>
              <w:left w:val="single" w:sz="4" w:space="0" w:color="auto"/>
              <w:bottom w:val="single" w:sz="4" w:space="0" w:color="auto"/>
              <w:right w:val="single" w:sz="4" w:space="0" w:color="auto"/>
            </w:tcBorders>
            <w:shd w:val="clear" w:color="000000" w:fill="FFFFFF"/>
          </w:tcPr>
          <w:p w14:paraId="50087D39" w14:textId="5CFF9640"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14:paraId="022D1C5E" w14:textId="3D8FC86B"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1.5%</w:t>
            </w:r>
          </w:p>
        </w:tc>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17A5F04F"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1.5%</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0B5FB"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1.5%</w:t>
            </w:r>
          </w:p>
        </w:tc>
      </w:tr>
      <w:tr w:rsidR="004375B5" w:rsidRPr="00765B5D" w14:paraId="745C366A" w14:textId="77777777" w:rsidTr="00D14FA8">
        <w:trPr>
          <w:trHeight w:val="236"/>
        </w:trPr>
        <w:tc>
          <w:tcPr>
            <w:tcW w:w="5445" w:type="dxa"/>
            <w:tcBorders>
              <w:top w:val="nil"/>
              <w:left w:val="nil"/>
              <w:bottom w:val="nil"/>
              <w:right w:val="nil"/>
            </w:tcBorders>
            <w:shd w:val="clear" w:color="auto" w:fill="auto"/>
            <w:noWrap/>
            <w:vAlign w:val="center"/>
            <w:hideMark/>
          </w:tcPr>
          <w:p w14:paraId="007841A1" w14:textId="3D193FAB" w:rsidR="004375B5" w:rsidRPr="00765B5D" w:rsidRDefault="00A15416" w:rsidP="004375B5">
            <w:pPr>
              <w:spacing w:after="0" w:line="240" w:lineRule="auto"/>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Inflacija</w:t>
            </w:r>
          </w:p>
        </w:tc>
        <w:tc>
          <w:tcPr>
            <w:tcW w:w="917" w:type="dxa"/>
            <w:tcBorders>
              <w:top w:val="single" w:sz="4" w:space="0" w:color="auto"/>
              <w:left w:val="single" w:sz="4" w:space="0" w:color="auto"/>
              <w:bottom w:val="single" w:sz="4" w:space="0" w:color="auto"/>
              <w:right w:val="single" w:sz="4" w:space="0" w:color="auto"/>
            </w:tcBorders>
          </w:tcPr>
          <w:p w14:paraId="7D395F73" w14:textId="6B6F25F4"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A778F" w14:textId="70B8D111"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1.19%</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15497A07"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0.26%</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EDB0BB0"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02D0C1BE" w14:textId="77777777" w:rsidTr="00D14FA8">
        <w:trPr>
          <w:trHeight w:val="236"/>
        </w:trPr>
        <w:tc>
          <w:tcPr>
            <w:tcW w:w="5445" w:type="dxa"/>
            <w:tcBorders>
              <w:top w:val="nil"/>
              <w:left w:val="nil"/>
              <w:bottom w:val="nil"/>
              <w:right w:val="nil"/>
            </w:tcBorders>
            <w:shd w:val="clear" w:color="auto" w:fill="auto"/>
            <w:noWrap/>
            <w:vAlign w:val="center"/>
            <w:hideMark/>
          </w:tcPr>
          <w:p w14:paraId="10A07001" w14:textId="77777777" w:rsidR="004375B5" w:rsidRPr="00765B5D" w:rsidRDefault="004375B5" w:rsidP="004375B5">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Euribor</w:t>
            </w:r>
          </w:p>
        </w:tc>
        <w:tc>
          <w:tcPr>
            <w:tcW w:w="917" w:type="dxa"/>
            <w:tcBorders>
              <w:top w:val="nil"/>
              <w:left w:val="single" w:sz="4" w:space="0" w:color="auto"/>
              <w:bottom w:val="single" w:sz="4" w:space="0" w:color="auto"/>
              <w:right w:val="single" w:sz="4" w:space="0" w:color="auto"/>
            </w:tcBorders>
          </w:tcPr>
          <w:p w14:paraId="7FC838CE" w14:textId="220FEC31"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75F594A0" w14:textId="1D0FBCB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-0.2%</w:t>
            </w:r>
          </w:p>
        </w:tc>
        <w:tc>
          <w:tcPr>
            <w:tcW w:w="932" w:type="dxa"/>
            <w:tcBorders>
              <w:top w:val="nil"/>
              <w:left w:val="nil"/>
              <w:bottom w:val="single" w:sz="4" w:space="0" w:color="auto"/>
              <w:right w:val="single" w:sz="4" w:space="0" w:color="auto"/>
            </w:tcBorders>
            <w:shd w:val="clear" w:color="auto" w:fill="auto"/>
            <w:noWrap/>
            <w:vAlign w:val="center"/>
          </w:tcPr>
          <w:p w14:paraId="6953BC27" w14:textId="605E4DE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-0.3%</w:t>
            </w:r>
          </w:p>
        </w:tc>
        <w:tc>
          <w:tcPr>
            <w:tcW w:w="1049" w:type="dxa"/>
            <w:tcBorders>
              <w:top w:val="nil"/>
              <w:left w:val="nil"/>
              <w:bottom w:val="single" w:sz="4" w:space="0" w:color="auto"/>
              <w:right w:val="single" w:sz="4" w:space="0" w:color="auto"/>
            </w:tcBorders>
            <w:shd w:val="clear" w:color="auto" w:fill="auto"/>
            <w:noWrap/>
            <w:vAlign w:val="center"/>
            <w:hideMark/>
          </w:tcPr>
          <w:p w14:paraId="4C661216"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275E9C45" w14:textId="77777777" w:rsidTr="00D14FA8">
        <w:trPr>
          <w:trHeight w:val="236"/>
        </w:trPr>
        <w:tc>
          <w:tcPr>
            <w:tcW w:w="5445" w:type="dxa"/>
            <w:tcBorders>
              <w:top w:val="nil"/>
              <w:left w:val="nil"/>
              <w:bottom w:val="nil"/>
              <w:right w:val="nil"/>
            </w:tcBorders>
            <w:shd w:val="clear" w:color="auto" w:fill="auto"/>
            <w:noWrap/>
            <w:vAlign w:val="center"/>
            <w:hideMark/>
          </w:tcPr>
          <w:p w14:paraId="1DA55125" w14:textId="45FDFAC4" w:rsidR="004375B5" w:rsidRPr="00765B5D" w:rsidRDefault="00A15416" w:rsidP="004375B5">
            <w:pPr>
              <w:spacing w:after="0" w:line="240" w:lineRule="auto"/>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S-Faktor</w:t>
            </w:r>
          </w:p>
        </w:tc>
        <w:tc>
          <w:tcPr>
            <w:tcW w:w="917" w:type="dxa"/>
            <w:tcBorders>
              <w:top w:val="nil"/>
              <w:left w:val="single" w:sz="4" w:space="0" w:color="auto"/>
              <w:bottom w:val="single" w:sz="4" w:space="0" w:color="auto"/>
              <w:right w:val="single" w:sz="4" w:space="0" w:color="auto"/>
            </w:tcBorders>
          </w:tcPr>
          <w:p w14:paraId="6CE6124F" w14:textId="57E4D2AA"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6A26B7FB" w14:textId="3F384619"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7.6%</w:t>
            </w:r>
          </w:p>
        </w:tc>
        <w:tc>
          <w:tcPr>
            <w:tcW w:w="932" w:type="dxa"/>
            <w:tcBorders>
              <w:top w:val="nil"/>
              <w:left w:val="nil"/>
              <w:bottom w:val="single" w:sz="4" w:space="0" w:color="auto"/>
              <w:right w:val="single" w:sz="4" w:space="0" w:color="auto"/>
            </w:tcBorders>
            <w:shd w:val="clear" w:color="auto" w:fill="auto"/>
            <w:noWrap/>
            <w:vAlign w:val="center"/>
          </w:tcPr>
          <w:p w14:paraId="6A6D0A39"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7.6%</w:t>
            </w:r>
          </w:p>
        </w:tc>
        <w:tc>
          <w:tcPr>
            <w:tcW w:w="1049" w:type="dxa"/>
            <w:tcBorders>
              <w:top w:val="nil"/>
              <w:left w:val="nil"/>
              <w:bottom w:val="single" w:sz="4" w:space="0" w:color="auto"/>
              <w:right w:val="single" w:sz="4" w:space="0" w:color="auto"/>
            </w:tcBorders>
            <w:shd w:val="clear" w:color="auto" w:fill="auto"/>
            <w:noWrap/>
            <w:vAlign w:val="center"/>
            <w:hideMark/>
          </w:tcPr>
          <w:p w14:paraId="742E1814"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3DE3E3D8" w14:textId="77777777" w:rsidTr="00D14FA8">
        <w:trPr>
          <w:trHeight w:val="236"/>
        </w:trPr>
        <w:tc>
          <w:tcPr>
            <w:tcW w:w="5445" w:type="dxa"/>
            <w:tcBorders>
              <w:top w:val="nil"/>
              <w:left w:val="nil"/>
              <w:bottom w:val="nil"/>
              <w:right w:val="nil"/>
            </w:tcBorders>
            <w:shd w:val="clear" w:color="auto" w:fill="auto"/>
            <w:noWrap/>
            <w:vAlign w:val="center"/>
            <w:hideMark/>
          </w:tcPr>
          <w:p w14:paraId="739DD735" w14:textId="5378F7F6" w:rsidR="004375B5" w:rsidRPr="00765B5D" w:rsidRDefault="00A15416" w:rsidP="004375B5">
            <w:pPr>
              <w:spacing w:after="0" w:line="240" w:lineRule="auto"/>
              <w:rPr>
                <w:rFonts w:asciiTheme="minorHAnsi" w:eastAsia="Times New Roman" w:hAnsiTheme="minorHAnsi" w:cstheme="minorHAnsi"/>
                <w:sz w:val="20"/>
                <w:szCs w:val="20"/>
                <w:lang w:val="sq-AL"/>
              </w:rPr>
            </w:pPr>
            <w:r w:rsidRPr="00A15416">
              <w:rPr>
                <w:rFonts w:asciiTheme="minorHAnsi" w:eastAsia="Times New Roman" w:hAnsiTheme="minorHAnsi" w:cstheme="minorHAnsi"/>
                <w:sz w:val="20"/>
                <w:szCs w:val="20"/>
                <w:lang w:val="sq-AL"/>
              </w:rPr>
              <w:t xml:space="preserve">Kamatna stopa </w:t>
            </w:r>
            <w:r w:rsidR="004375B5" w:rsidRPr="00765B5D">
              <w:rPr>
                <w:rFonts w:asciiTheme="minorHAnsi" w:eastAsia="Times New Roman" w:hAnsiTheme="minorHAnsi" w:cstheme="minorHAnsi"/>
                <w:sz w:val="20"/>
                <w:szCs w:val="20"/>
                <w:lang w:val="sq-AL"/>
              </w:rPr>
              <w:t>- It</w:t>
            </w:r>
          </w:p>
        </w:tc>
        <w:tc>
          <w:tcPr>
            <w:tcW w:w="917" w:type="dxa"/>
            <w:tcBorders>
              <w:top w:val="nil"/>
              <w:left w:val="single" w:sz="4" w:space="0" w:color="auto"/>
              <w:bottom w:val="single" w:sz="4" w:space="0" w:color="auto"/>
              <w:right w:val="single" w:sz="4" w:space="0" w:color="auto"/>
            </w:tcBorders>
          </w:tcPr>
          <w:p w14:paraId="696F17B3" w14:textId="0072ACD0"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09560BC9" w14:textId="515949B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7.4%</w:t>
            </w:r>
          </w:p>
        </w:tc>
        <w:tc>
          <w:tcPr>
            <w:tcW w:w="932" w:type="dxa"/>
            <w:tcBorders>
              <w:top w:val="nil"/>
              <w:left w:val="nil"/>
              <w:bottom w:val="single" w:sz="4" w:space="0" w:color="auto"/>
              <w:right w:val="single" w:sz="4" w:space="0" w:color="auto"/>
            </w:tcBorders>
            <w:shd w:val="clear" w:color="auto" w:fill="auto"/>
            <w:noWrap/>
            <w:vAlign w:val="center"/>
          </w:tcPr>
          <w:p w14:paraId="450ED77D" w14:textId="62D3651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7.3%</w:t>
            </w:r>
          </w:p>
        </w:tc>
        <w:tc>
          <w:tcPr>
            <w:tcW w:w="1049" w:type="dxa"/>
            <w:tcBorders>
              <w:top w:val="nil"/>
              <w:left w:val="nil"/>
              <w:bottom w:val="single" w:sz="4" w:space="0" w:color="auto"/>
              <w:right w:val="single" w:sz="4" w:space="0" w:color="auto"/>
            </w:tcBorders>
            <w:shd w:val="clear" w:color="auto" w:fill="auto"/>
            <w:vAlign w:val="center"/>
            <w:hideMark/>
          </w:tcPr>
          <w:p w14:paraId="656DBC76" w14:textId="29E2F1D6"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223397C0"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6AA89B4D" w14:textId="6947AAD8" w:rsidR="004375B5" w:rsidRPr="00765B5D" w:rsidRDefault="00A15416" w:rsidP="00644781">
            <w:pPr>
              <w:spacing w:after="0" w:line="240" w:lineRule="auto"/>
              <w:rPr>
                <w:rFonts w:asciiTheme="minorHAnsi" w:eastAsia="Times New Roman" w:hAnsiTheme="minorHAnsi" w:cstheme="minorHAnsi"/>
                <w:b/>
                <w:bCs/>
                <w:sz w:val="20"/>
                <w:szCs w:val="20"/>
                <w:lang w:val="sq-AL"/>
              </w:rPr>
            </w:pPr>
            <w:r w:rsidRPr="00A15416">
              <w:rPr>
                <w:b/>
                <w:sz w:val="20"/>
                <w:szCs w:val="20"/>
              </w:rPr>
              <w:t>Operativni i održavani troškovi</w:t>
            </w:r>
            <w:r w:rsidR="004375B5" w:rsidRPr="00765B5D">
              <w:rPr>
                <w:rFonts w:asciiTheme="minorHAnsi" w:eastAsia="Times New Roman" w:hAnsiTheme="minorHAnsi" w:cstheme="minorHAnsi"/>
                <w:b/>
                <w:bCs/>
                <w:sz w:val="20"/>
                <w:szCs w:val="20"/>
                <w:lang w:val="sq-AL"/>
              </w:rPr>
              <w:t xml:space="preserve"> (OPMCt)</w:t>
            </w:r>
          </w:p>
        </w:tc>
        <w:tc>
          <w:tcPr>
            <w:tcW w:w="917" w:type="dxa"/>
            <w:tcBorders>
              <w:top w:val="nil"/>
              <w:left w:val="nil"/>
              <w:bottom w:val="single" w:sz="4" w:space="0" w:color="auto"/>
              <w:right w:val="nil"/>
            </w:tcBorders>
            <w:shd w:val="clear" w:color="auto" w:fill="B8CCE4" w:themeFill="accent1" w:themeFillTint="66"/>
          </w:tcPr>
          <w:p w14:paraId="54759D3D"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vAlign w:val="center"/>
          </w:tcPr>
          <w:p w14:paraId="615ABDE6" w14:textId="65ED1CC5"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vAlign w:val="center"/>
            <w:hideMark/>
          </w:tcPr>
          <w:p w14:paraId="71341417"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vAlign w:val="center"/>
            <w:hideMark/>
          </w:tcPr>
          <w:p w14:paraId="75F3BA00"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r>
      <w:tr w:rsidR="004375B5" w:rsidRPr="00765B5D" w14:paraId="6E00AD97"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30515D12" w14:textId="70DCE54B" w:rsidR="004375B5" w:rsidRPr="00765B5D" w:rsidRDefault="003F5C09" w:rsidP="004375B5">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Evaluacija tokom</w:t>
            </w:r>
            <w:r w:rsidR="004375B5" w:rsidRPr="00765B5D">
              <w:rPr>
                <w:rFonts w:asciiTheme="minorHAnsi" w:eastAsia="Times New Roman" w:hAnsiTheme="minorHAnsi" w:cstheme="minorHAnsi"/>
                <w:color w:val="000000"/>
                <w:sz w:val="20"/>
                <w:szCs w:val="20"/>
                <w:lang w:val="sq-AL"/>
              </w:rPr>
              <w:t xml:space="preserve"> PRR2</w:t>
            </w:r>
          </w:p>
        </w:tc>
        <w:tc>
          <w:tcPr>
            <w:tcW w:w="917" w:type="dxa"/>
            <w:tcBorders>
              <w:top w:val="single" w:sz="4" w:space="0" w:color="auto"/>
              <w:left w:val="single" w:sz="4" w:space="0" w:color="auto"/>
              <w:bottom w:val="single" w:sz="4" w:space="0" w:color="auto"/>
              <w:right w:val="single" w:sz="4" w:space="0" w:color="auto"/>
            </w:tcBorders>
          </w:tcPr>
          <w:p w14:paraId="7E193B81" w14:textId="5DA9D491"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3C6C377B" w14:textId="3F1E07A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25.85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E994F83"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25.53</w:t>
            </w:r>
          </w:p>
        </w:tc>
        <w:tc>
          <w:tcPr>
            <w:tcW w:w="1049" w:type="dxa"/>
            <w:tcBorders>
              <w:top w:val="single" w:sz="4" w:space="0" w:color="auto"/>
              <w:left w:val="nil"/>
              <w:bottom w:val="single" w:sz="4" w:space="0" w:color="auto"/>
              <w:right w:val="single" w:sz="4" w:space="0" w:color="auto"/>
            </w:tcBorders>
            <w:shd w:val="clear" w:color="auto" w:fill="auto"/>
            <w:vAlign w:val="center"/>
          </w:tcPr>
          <w:p w14:paraId="7A8C28A8"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25.21</w:t>
            </w:r>
          </w:p>
        </w:tc>
      </w:tr>
      <w:tr w:rsidR="004375B5" w:rsidRPr="00765B5D" w14:paraId="55124CAA" w14:textId="77777777" w:rsidTr="00D14FA8">
        <w:trPr>
          <w:trHeight w:val="236"/>
        </w:trPr>
        <w:tc>
          <w:tcPr>
            <w:tcW w:w="5445" w:type="dxa"/>
            <w:tcBorders>
              <w:top w:val="nil"/>
              <w:left w:val="nil"/>
              <w:bottom w:val="nil"/>
              <w:right w:val="nil"/>
            </w:tcBorders>
            <w:shd w:val="clear" w:color="auto" w:fill="auto"/>
            <w:noWrap/>
            <w:vAlign w:val="center"/>
            <w:hideMark/>
          </w:tcPr>
          <w:p w14:paraId="2B105DBD" w14:textId="372A9DED" w:rsidR="004375B5" w:rsidRPr="00765B5D" w:rsidRDefault="00EB4D9A" w:rsidP="004375B5">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Dozvoljeno</w:t>
            </w:r>
            <w:r w:rsidR="004375B5" w:rsidRPr="00765B5D">
              <w:rPr>
                <w:rFonts w:asciiTheme="minorHAnsi" w:eastAsia="Times New Roman" w:hAnsiTheme="minorHAnsi" w:cstheme="minorHAnsi"/>
                <w:color w:val="000000"/>
                <w:sz w:val="20"/>
                <w:szCs w:val="20"/>
                <w:lang w:val="sq-AL"/>
              </w:rPr>
              <w:t xml:space="preserve"> - OPMCt = OPMCt-1 * (1 + CPIt-1) * (1 – Et)* (1 – Pt)</w:t>
            </w:r>
          </w:p>
        </w:tc>
        <w:tc>
          <w:tcPr>
            <w:tcW w:w="917" w:type="dxa"/>
            <w:tcBorders>
              <w:top w:val="single" w:sz="4" w:space="0" w:color="auto"/>
              <w:left w:val="single" w:sz="4" w:space="0" w:color="auto"/>
              <w:bottom w:val="single" w:sz="4" w:space="0" w:color="auto"/>
              <w:right w:val="single" w:sz="4" w:space="0" w:color="auto"/>
            </w:tcBorders>
          </w:tcPr>
          <w:p w14:paraId="69EA3093" w14:textId="574CA0E8"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E8D415" w14:textId="290CC4E4"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26.30</w:t>
            </w:r>
          </w:p>
        </w:tc>
        <w:tc>
          <w:tcPr>
            <w:tcW w:w="932" w:type="dxa"/>
            <w:tcBorders>
              <w:top w:val="nil"/>
              <w:left w:val="nil"/>
              <w:bottom w:val="single" w:sz="4" w:space="0" w:color="auto"/>
              <w:right w:val="single" w:sz="4" w:space="0" w:color="auto"/>
            </w:tcBorders>
            <w:shd w:val="clear" w:color="auto" w:fill="auto"/>
            <w:vAlign w:val="center"/>
          </w:tcPr>
          <w:p w14:paraId="581CFADA"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25.84</w:t>
            </w:r>
          </w:p>
        </w:tc>
        <w:tc>
          <w:tcPr>
            <w:tcW w:w="1049" w:type="dxa"/>
            <w:tcBorders>
              <w:top w:val="nil"/>
              <w:left w:val="nil"/>
              <w:bottom w:val="single" w:sz="4" w:space="0" w:color="auto"/>
              <w:right w:val="single" w:sz="4" w:space="0" w:color="auto"/>
            </w:tcBorders>
            <w:shd w:val="clear" w:color="auto" w:fill="auto"/>
            <w:vAlign w:val="center"/>
          </w:tcPr>
          <w:p w14:paraId="6AD05323"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25.28</w:t>
            </w:r>
          </w:p>
        </w:tc>
      </w:tr>
      <w:tr w:rsidR="004375B5" w:rsidRPr="00765B5D" w14:paraId="519A7ED4" w14:textId="77777777" w:rsidTr="00D14FA8">
        <w:trPr>
          <w:trHeight w:val="236"/>
        </w:trPr>
        <w:tc>
          <w:tcPr>
            <w:tcW w:w="5445" w:type="dxa"/>
            <w:tcBorders>
              <w:top w:val="nil"/>
              <w:left w:val="nil"/>
              <w:bottom w:val="nil"/>
              <w:right w:val="nil"/>
            </w:tcBorders>
            <w:shd w:val="clear" w:color="auto" w:fill="auto"/>
            <w:noWrap/>
            <w:vAlign w:val="center"/>
            <w:hideMark/>
          </w:tcPr>
          <w:p w14:paraId="3A1405C7" w14:textId="7897D931" w:rsidR="004375B5" w:rsidRPr="00765B5D" w:rsidRDefault="00EB4D9A" w:rsidP="00EB4D9A">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Dodatni</w:t>
            </w:r>
            <w:r w:rsidRPr="00EB4D9A">
              <w:rPr>
                <w:rFonts w:asciiTheme="minorHAnsi" w:eastAsia="Times New Roman" w:hAnsiTheme="minorHAnsi" w:cstheme="minorHAnsi"/>
                <w:color w:val="000000"/>
                <w:sz w:val="20"/>
                <w:szCs w:val="20"/>
                <w:lang w:val="sq-AL"/>
              </w:rPr>
              <w:t xml:space="preserve"> troškovi </w:t>
            </w:r>
            <w:r>
              <w:rPr>
                <w:rFonts w:asciiTheme="minorHAnsi" w:eastAsia="Times New Roman" w:hAnsiTheme="minorHAnsi" w:cstheme="minorHAnsi"/>
                <w:color w:val="000000"/>
                <w:sz w:val="20"/>
                <w:szCs w:val="20"/>
                <w:lang w:val="sq-AL"/>
              </w:rPr>
              <w:t>OPEX</w:t>
            </w:r>
          </w:p>
        </w:tc>
        <w:tc>
          <w:tcPr>
            <w:tcW w:w="917" w:type="dxa"/>
            <w:tcBorders>
              <w:top w:val="single" w:sz="4" w:space="0" w:color="auto"/>
              <w:left w:val="single" w:sz="4" w:space="0" w:color="auto"/>
              <w:bottom w:val="single" w:sz="4" w:space="0" w:color="auto"/>
              <w:right w:val="single" w:sz="4" w:space="0" w:color="auto"/>
            </w:tcBorders>
          </w:tcPr>
          <w:p w14:paraId="03719DF3" w14:textId="31C5C324"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2E6BFA" w14:textId="585657C2"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p>
        </w:tc>
        <w:tc>
          <w:tcPr>
            <w:tcW w:w="932" w:type="dxa"/>
            <w:tcBorders>
              <w:top w:val="nil"/>
              <w:left w:val="nil"/>
              <w:bottom w:val="single" w:sz="4" w:space="0" w:color="auto"/>
              <w:right w:val="single" w:sz="4" w:space="0" w:color="auto"/>
            </w:tcBorders>
            <w:shd w:val="clear" w:color="auto" w:fill="auto"/>
            <w:vAlign w:val="center"/>
            <w:hideMark/>
          </w:tcPr>
          <w:p w14:paraId="68F110A3" w14:textId="77777777"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Pr>
                <w:rFonts w:asciiTheme="minorHAnsi" w:eastAsia="Times New Roman" w:hAnsiTheme="minorHAnsi" w:cstheme="minorHAnsi"/>
                <w:bCs/>
                <w:color w:val="000000"/>
                <w:sz w:val="20"/>
                <w:szCs w:val="20"/>
                <w:lang w:val="sq-AL"/>
              </w:rPr>
              <w:t>0.24</w:t>
            </w:r>
          </w:p>
        </w:tc>
        <w:tc>
          <w:tcPr>
            <w:tcW w:w="1049" w:type="dxa"/>
            <w:tcBorders>
              <w:top w:val="nil"/>
              <w:left w:val="nil"/>
              <w:bottom w:val="single" w:sz="4" w:space="0" w:color="auto"/>
              <w:right w:val="single" w:sz="4" w:space="0" w:color="auto"/>
            </w:tcBorders>
            <w:shd w:val="clear" w:color="auto" w:fill="auto"/>
            <w:vAlign w:val="center"/>
          </w:tcPr>
          <w:p w14:paraId="03182D9C" w14:textId="77777777"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Pr>
                <w:rFonts w:asciiTheme="minorHAnsi" w:eastAsia="Times New Roman" w:hAnsiTheme="minorHAnsi" w:cstheme="minorHAnsi"/>
                <w:bCs/>
                <w:color w:val="000000"/>
                <w:sz w:val="20"/>
                <w:szCs w:val="20"/>
                <w:lang w:val="sq-AL"/>
              </w:rPr>
              <w:t>0.24</w:t>
            </w:r>
          </w:p>
        </w:tc>
      </w:tr>
      <w:tr w:rsidR="004375B5" w:rsidRPr="00765B5D" w14:paraId="5A18C55A"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2F007DF6" w14:textId="2616F96F" w:rsidR="004375B5" w:rsidRPr="00765B5D" w:rsidRDefault="00EB4D9A" w:rsidP="00644781">
            <w:pPr>
              <w:spacing w:after="0" w:line="240" w:lineRule="auto"/>
              <w:rPr>
                <w:rFonts w:asciiTheme="minorHAnsi" w:eastAsia="Times New Roman" w:hAnsiTheme="minorHAnsi" w:cstheme="minorHAnsi"/>
                <w:b/>
                <w:bCs/>
                <w:sz w:val="20"/>
                <w:szCs w:val="20"/>
                <w:lang w:val="sq-AL"/>
              </w:rPr>
            </w:pPr>
            <w:r w:rsidRPr="00EB4D9A">
              <w:rPr>
                <w:rFonts w:asciiTheme="minorHAnsi" w:eastAsia="Times New Roman" w:hAnsiTheme="minorHAnsi" w:cstheme="minorHAnsi"/>
                <w:b/>
                <w:bCs/>
                <w:sz w:val="20"/>
                <w:szCs w:val="20"/>
                <w:lang w:val="sq-AL"/>
              </w:rPr>
              <w:t>Troškovi amortizacije</w:t>
            </w:r>
            <w:r w:rsidR="004375B5" w:rsidRPr="00765B5D">
              <w:rPr>
                <w:rFonts w:asciiTheme="minorHAnsi" w:eastAsia="Times New Roman" w:hAnsiTheme="minorHAnsi" w:cstheme="minorHAnsi"/>
                <w:b/>
                <w:bCs/>
                <w:sz w:val="20"/>
                <w:szCs w:val="20"/>
                <w:lang w:val="sq-AL"/>
              </w:rPr>
              <w:t xml:space="preserve"> (DEPCt)</w:t>
            </w:r>
          </w:p>
        </w:tc>
        <w:tc>
          <w:tcPr>
            <w:tcW w:w="917" w:type="dxa"/>
            <w:tcBorders>
              <w:top w:val="nil"/>
              <w:left w:val="nil"/>
              <w:bottom w:val="single" w:sz="4" w:space="0" w:color="auto"/>
              <w:right w:val="nil"/>
            </w:tcBorders>
            <w:shd w:val="clear" w:color="auto" w:fill="B8CCE4" w:themeFill="accent1" w:themeFillTint="66"/>
          </w:tcPr>
          <w:p w14:paraId="7C5E837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40ED02E9" w14:textId="38C5190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hideMark/>
          </w:tcPr>
          <w:p w14:paraId="5F95757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03C93C3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3DE2C2CE"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357FBB2" w14:textId="5F7BE995" w:rsidR="004375B5" w:rsidRPr="00765B5D" w:rsidRDefault="00EB4D9A" w:rsidP="004375B5">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Evaluacija tokom</w:t>
            </w:r>
            <w:r w:rsidR="004375B5" w:rsidRPr="00765B5D">
              <w:rPr>
                <w:rFonts w:asciiTheme="minorHAnsi" w:eastAsia="Times New Roman" w:hAnsiTheme="minorHAnsi" w:cstheme="minorHAnsi"/>
                <w:color w:val="000000"/>
                <w:sz w:val="20"/>
                <w:szCs w:val="20"/>
                <w:lang w:val="sq-AL"/>
              </w:rPr>
              <w:t xml:space="preserve"> PRR2</w:t>
            </w:r>
          </w:p>
        </w:tc>
        <w:tc>
          <w:tcPr>
            <w:tcW w:w="917" w:type="dxa"/>
            <w:tcBorders>
              <w:top w:val="single" w:sz="4" w:space="0" w:color="auto"/>
              <w:left w:val="single" w:sz="4" w:space="0" w:color="auto"/>
              <w:bottom w:val="single" w:sz="4" w:space="0" w:color="auto"/>
              <w:right w:val="single" w:sz="4" w:space="0" w:color="auto"/>
            </w:tcBorders>
          </w:tcPr>
          <w:p w14:paraId="19D3706A" w14:textId="0AD11D7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F5A64">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615F81A7" w14:textId="50E5C56B"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14.44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7FDC108"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15.23</w:t>
            </w:r>
          </w:p>
        </w:tc>
        <w:tc>
          <w:tcPr>
            <w:tcW w:w="1049" w:type="dxa"/>
            <w:tcBorders>
              <w:top w:val="single" w:sz="4" w:space="0" w:color="auto"/>
              <w:left w:val="nil"/>
              <w:bottom w:val="single" w:sz="4" w:space="0" w:color="auto"/>
              <w:right w:val="single" w:sz="4" w:space="0" w:color="auto"/>
            </w:tcBorders>
            <w:shd w:val="clear" w:color="auto" w:fill="auto"/>
            <w:vAlign w:val="center"/>
          </w:tcPr>
          <w:p w14:paraId="4CE30FD2"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16.17</w:t>
            </w:r>
          </w:p>
        </w:tc>
      </w:tr>
      <w:tr w:rsidR="004375B5" w:rsidRPr="00765B5D" w14:paraId="4A1C9675" w14:textId="77777777" w:rsidTr="00D14FA8">
        <w:trPr>
          <w:trHeight w:val="236"/>
        </w:trPr>
        <w:tc>
          <w:tcPr>
            <w:tcW w:w="5445" w:type="dxa"/>
            <w:tcBorders>
              <w:top w:val="nil"/>
              <w:left w:val="nil"/>
              <w:bottom w:val="nil"/>
              <w:right w:val="nil"/>
            </w:tcBorders>
            <w:shd w:val="clear" w:color="auto" w:fill="auto"/>
            <w:noWrap/>
            <w:vAlign w:val="center"/>
            <w:hideMark/>
          </w:tcPr>
          <w:p w14:paraId="3F5838AB" w14:textId="79E54AC3" w:rsidR="004375B5" w:rsidRPr="00765B5D" w:rsidRDefault="00EB4D9A" w:rsidP="004375B5">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Dozvoljeno</w:t>
            </w:r>
            <w:r w:rsidR="004375B5" w:rsidRPr="00765B5D">
              <w:rPr>
                <w:rFonts w:asciiTheme="minorHAnsi" w:eastAsia="Times New Roman" w:hAnsiTheme="minorHAnsi" w:cstheme="minorHAnsi"/>
                <w:color w:val="000000"/>
                <w:sz w:val="20"/>
                <w:szCs w:val="20"/>
                <w:lang w:val="sq-AL"/>
              </w:rPr>
              <w:t xml:space="preserve"> - DEPCt = DEPCt-1 * (1 + CPIt-1) * (1 – Pt)</w:t>
            </w:r>
          </w:p>
        </w:tc>
        <w:tc>
          <w:tcPr>
            <w:tcW w:w="917" w:type="dxa"/>
            <w:tcBorders>
              <w:top w:val="single" w:sz="4" w:space="0" w:color="auto"/>
              <w:left w:val="single" w:sz="4" w:space="0" w:color="auto"/>
              <w:bottom w:val="single" w:sz="4" w:space="0" w:color="auto"/>
              <w:right w:val="single" w:sz="4" w:space="0" w:color="auto"/>
            </w:tcBorders>
          </w:tcPr>
          <w:p w14:paraId="27F79196" w14:textId="13650719"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CF5A64">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682DE2D" w14:textId="5F8C647A"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14.65</w:t>
            </w:r>
          </w:p>
        </w:tc>
        <w:tc>
          <w:tcPr>
            <w:tcW w:w="932" w:type="dxa"/>
            <w:tcBorders>
              <w:top w:val="nil"/>
              <w:left w:val="nil"/>
              <w:bottom w:val="single" w:sz="4" w:space="0" w:color="auto"/>
              <w:right w:val="single" w:sz="4" w:space="0" w:color="auto"/>
            </w:tcBorders>
            <w:shd w:val="clear" w:color="auto" w:fill="auto"/>
            <w:vAlign w:val="center"/>
          </w:tcPr>
          <w:p w14:paraId="559226F5"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15.40</w:t>
            </w:r>
          </w:p>
        </w:tc>
        <w:tc>
          <w:tcPr>
            <w:tcW w:w="1049" w:type="dxa"/>
            <w:tcBorders>
              <w:top w:val="nil"/>
              <w:left w:val="nil"/>
              <w:bottom w:val="single" w:sz="4" w:space="0" w:color="auto"/>
              <w:right w:val="single" w:sz="4" w:space="0" w:color="auto"/>
            </w:tcBorders>
            <w:shd w:val="clear" w:color="auto" w:fill="auto"/>
            <w:vAlign w:val="center"/>
          </w:tcPr>
          <w:p w14:paraId="62ED7133"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16.21</w:t>
            </w:r>
          </w:p>
        </w:tc>
      </w:tr>
      <w:tr w:rsidR="004375B5" w:rsidRPr="00765B5D" w14:paraId="6324B12E"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45C4D3AE" w14:textId="5BB23BDE" w:rsidR="004375B5" w:rsidRPr="00765B5D" w:rsidRDefault="00EB4D9A" w:rsidP="00644781">
            <w:pPr>
              <w:spacing w:after="0" w:line="240" w:lineRule="auto"/>
              <w:rPr>
                <w:rFonts w:asciiTheme="minorHAnsi" w:eastAsia="Times New Roman" w:hAnsiTheme="minorHAnsi" w:cstheme="minorHAnsi"/>
                <w:b/>
                <w:bCs/>
                <w:sz w:val="20"/>
                <w:szCs w:val="20"/>
                <w:lang w:val="sq-AL"/>
              </w:rPr>
            </w:pPr>
            <w:r w:rsidRPr="00EB4D9A">
              <w:rPr>
                <w:rFonts w:asciiTheme="minorHAnsi" w:eastAsia="Times New Roman" w:hAnsiTheme="minorHAnsi" w:cstheme="minorHAnsi"/>
                <w:b/>
                <w:bCs/>
                <w:sz w:val="20"/>
                <w:szCs w:val="20"/>
                <w:lang w:val="sq-AL"/>
              </w:rPr>
              <w:t>Troškovi povrata</w:t>
            </w:r>
            <w:r w:rsidR="004375B5" w:rsidRPr="00765B5D">
              <w:rPr>
                <w:rFonts w:asciiTheme="minorHAnsi" w:eastAsia="Times New Roman" w:hAnsiTheme="minorHAnsi" w:cstheme="minorHAnsi"/>
                <w:b/>
                <w:bCs/>
                <w:sz w:val="20"/>
                <w:szCs w:val="20"/>
                <w:lang w:val="sq-AL"/>
              </w:rPr>
              <w:t xml:space="preserve"> (RTNCt)</w:t>
            </w:r>
          </w:p>
        </w:tc>
        <w:tc>
          <w:tcPr>
            <w:tcW w:w="917" w:type="dxa"/>
            <w:tcBorders>
              <w:top w:val="nil"/>
              <w:left w:val="nil"/>
              <w:bottom w:val="single" w:sz="4" w:space="0" w:color="auto"/>
              <w:right w:val="nil"/>
            </w:tcBorders>
            <w:shd w:val="clear" w:color="auto" w:fill="B8CCE4" w:themeFill="accent1" w:themeFillTint="66"/>
          </w:tcPr>
          <w:p w14:paraId="079EFC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2AF99780" w14:textId="5F98E53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hideMark/>
          </w:tcPr>
          <w:p w14:paraId="4435C27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5D716B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7622234C" w14:textId="77777777" w:rsidTr="00D14FA8">
        <w:trPr>
          <w:trHeight w:val="278"/>
        </w:trPr>
        <w:tc>
          <w:tcPr>
            <w:tcW w:w="5445" w:type="dxa"/>
            <w:tcBorders>
              <w:top w:val="nil"/>
              <w:left w:val="nil"/>
              <w:bottom w:val="nil"/>
              <w:right w:val="single" w:sz="4" w:space="0" w:color="auto"/>
            </w:tcBorders>
            <w:shd w:val="clear" w:color="auto" w:fill="auto"/>
            <w:noWrap/>
            <w:vAlign w:val="center"/>
            <w:hideMark/>
          </w:tcPr>
          <w:p w14:paraId="11AE1B4A" w14:textId="3A8C6A84" w:rsidR="004375B5" w:rsidRPr="00765B5D" w:rsidRDefault="00EB4D9A" w:rsidP="00EB4D9A">
            <w:pPr>
              <w:spacing w:after="0" w:line="240" w:lineRule="auto"/>
              <w:ind w:firstLineChars="100" w:firstLine="200"/>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Evaluacija tokom</w:t>
            </w:r>
            <w:r w:rsidR="004375B5" w:rsidRPr="00765B5D">
              <w:rPr>
                <w:rFonts w:asciiTheme="minorHAnsi" w:eastAsia="Times New Roman" w:hAnsiTheme="minorHAnsi" w:cstheme="minorHAnsi"/>
                <w:color w:val="000000"/>
                <w:sz w:val="20"/>
                <w:szCs w:val="20"/>
                <w:lang w:val="sq-AL"/>
              </w:rPr>
              <w:t xml:space="preserve"> MYT</w:t>
            </w:r>
          </w:p>
        </w:tc>
        <w:tc>
          <w:tcPr>
            <w:tcW w:w="917" w:type="dxa"/>
            <w:tcBorders>
              <w:top w:val="single" w:sz="4" w:space="0" w:color="auto"/>
              <w:left w:val="single" w:sz="4" w:space="0" w:color="auto"/>
              <w:bottom w:val="single" w:sz="4" w:space="0" w:color="auto"/>
              <w:right w:val="single" w:sz="4" w:space="0" w:color="auto"/>
            </w:tcBorders>
          </w:tcPr>
          <w:p w14:paraId="7D7A2E38" w14:textId="07AE816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013FB">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5F5996BC" w14:textId="79383C9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13.39</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F894A0"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14.95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7D6A67EE"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15.90</w:t>
            </w:r>
          </w:p>
        </w:tc>
      </w:tr>
      <w:tr w:rsidR="004375B5" w:rsidRPr="00765B5D" w14:paraId="28FF93EF" w14:textId="77777777" w:rsidTr="00D14FA8">
        <w:trPr>
          <w:trHeight w:val="278"/>
        </w:trPr>
        <w:tc>
          <w:tcPr>
            <w:tcW w:w="5445" w:type="dxa"/>
            <w:tcBorders>
              <w:top w:val="nil"/>
              <w:left w:val="nil"/>
              <w:bottom w:val="nil"/>
              <w:right w:val="nil"/>
            </w:tcBorders>
            <w:shd w:val="clear" w:color="auto" w:fill="auto"/>
            <w:noWrap/>
            <w:vAlign w:val="center"/>
            <w:hideMark/>
          </w:tcPr>
          <w:p w14:paraId="16B114F8" w14:textId="2A2D9521" w:rsidR="004375B5" w:rsidRPr="00765B5D" w:rsidRDefault="00EB4D9A" w:rsidP="004375B5">
            <w:pPr>
              <w:spacing w:after="0" w:line="240" w:lineRule="auto"/>
              <w:ind w:firstLineChars="100" w:firstLine="200"/>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Dozvoljeno</w:t>
            </w:r>
            <w:r w:rsidR="004375B5" w:rsidRPr="00765B5D">
              <w:rPr>
                <w:rFonts w:asciiTheme="minorHAnsi" w:eastAsia="Times New Roman" w:hAnsiTheme="minorHAnsi" w:cstheme="minorHAnsi"/>
                <w:color w:val="000000"/>
                <w:sz w:val="20"/>
                <w:szCs w:val="20"/>
                <w:lang w:val="sq-AL"/>
              </w:rPr>
              <w:t xml:space="preserve"> - RTNCt = RTNCt-1 * (1 + CPIt-1) * (1 – Pt)</w:t>
            </w:r>
          </w:p>
        </w:tc>
        <w:tc>
          <w:tcPr>
            <w:tcW w:w="917" w:type="dxa"/>
            <w:tcBorders>
              <w:top w:val="single" w:sz="4" w:space="0" w:color="auto"/>
              <w:left w:val="single" w:sz="4" w:space="0" w:color="auto"/>
              <w:bottom w:val="single" w:sz="4" w:space="0" w:color="auto"/>
              <w:right w:val="single" w:sz="4" w:space="0" w:color="auto"/>
            </w:tcBorders>
          </w:tcPr>
          <w:p w14:paraId="29F97ABA" w14:textId="4CA6B15E"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3013FB">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27E3966" w14:textId="534C1CCB"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13.59</w:t>
            </w:r>
          </w:p>
        </w:tc>
        <w:tc>
          <w:tcPr>
            <w:tcW w:w="932" w:type="dxa"/>
            <w:tcBorders>
              <w:top w:val="nil"/>
              <w:left w:val="nil"/>
              <w:bottom w:val="single" w:sz="4" w:space="0" w:color="auto"/>
              <w:right w:val="single" w:sz="4" w:space="0" w:color="auto"/>
            </w:tcBorders>
            <w:shd w:val="clear" w:color="auto" w:fill="auto"/>
            <w:vAlign w:val="center"/>
          </w:tcPr>
          <w:p w14:paraId="5F6CC695"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15.12</w:t>
            </w:r>
          </w:p>
        </w:tc>
        <w:tc>
          <w:tcPr>
            <w:tcW w:w="1049" w:type="dxa"/>
            <w:tcBorders>
              <w:top w:val="nil"/>
              <w:left w:val="nil"/>
              <w:bottom w:val="single" w:sz="4" w:space="0" w:color="auto"/>
              <w:right w:val="single" w:sz="4" w:space="0" w:color="auto"/>
            </w:tcBorders>
            <w:shd w:val="clear" w:color="auto" w:fill="auto"/>
            <w:vAlign w:val="center"/>
          </w:tcPr>
          <w:p w14:paraId="6B0B3BBC"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15.94</w:t>
            </w:r>
          </w:p>
        </w:tc>
      </w:tr>
      <w:tr w:rsidR="004375B5" w:rsidRPr="00765B5D" w14:paraId="12A7077A"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6FDAFC62" w14:textId="752509C3" w:rsidR="004375B5" w:rsidRPr="00765B5D" w:rsidRDefault="00EB4D9A" w:rsidP="00644781">
            <w:pPr>
              <w:spacing w:after="0" w:line="240" w:lineRule="auto"/>
              <w:rPr>
                <w:rFonts w:asciiTheme="minorHAnsi" w:eastAsia="Times New Roman" w:hAnsiTheme="minorHAnsi" w:cstheme="minorHAnsi"/>
                <w:b/>
                <w:bCs/>
                <w:sz w:val="20"/>
                <w:szCs w:val="20"/>
                <w:lang w:val="sq-AL"/>
              </w:rPr>
            </w:pPr>
            <w:r w:rsidRPr="00EB4D9A">
              <w:rPr>
                <w:rFonts w:asciiTheme="minorHAnsi" w:eastAsia="Times New Roman" w:hAnsiTheme="minorHAnsi" w:cstheme="minorHAnsi"/>
                <w:b/>
                <w:bCs/>
                <w:sz w:val="20"/>
                <w:szCs w:val="20"/>
                <w:lang w:val="sq-AL"/>
              </w:rPr>
              <w:t xml:space="preserve">Obaveze prema </w:t>
            </w:r>
            <w:r w:rsidR="004375B5" w:rsidRPr="00765B5D">
              <w:rPr>
                <w:rFonts w:asciiTheme="minorHAnsi" w:eastAsia="Times New Roman" w:hAnsiTheme="minorHAnsi" w:cstheme="minorHAnsi"/>
                <w:b/>
                <w:bCs/>
                <w:sz w:val="20"/>
                <w:szCs w:val="20"/>
                <w:lang w:val="sq-AL"/>
              </w:rPr>
              <w:t>KOSTT-it</w:t>
            </w:r>
          </w:p>
        </w:tc>
        <w:tc>
          <w:tcPr>
            <w:tcW w:w="917" w:type="dxa"/>
            <w:tcBorders>
              <w:top w:val="nil"/>
              <w:left w:val="nil"/>
              <w:bottom w:val="nil"/>
              <w:right w:val="nil"/>
            </w:tcBorders>
            <w:shd w:val="clear" w:color="auto" w:fill="B8CCE4" w:themeFill="accent1" w:themeFillTint="66"/>
          </w:tcPr>
          <w:p w14:paraId="2E02F04F"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B8CCE4" w:themeFill="accent1" w:themeFillTint="66"/>
            <w:noWrap/>
            <w:vAlign w:val="center"/>
          </w:tcPr>
          <w:p w14:paraId="3F111D29" w14:textId="62E60962"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tcPr>
          <w:p w14:paraId="0E98748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09BC2A14"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08A96798" w14:textId="77777777" w:rsidTr="00D14FA8">
        <w:trPr>
          <w:trHeight w:val="278"/>
        </w:trPr>
        <w:tc>
          <w:tcPr>
            <w:tcW w:w="5445" w:type="dxa"/>
            <w:tcBorders>
              <w:top w:val="nil"/>
              <w:left w:val="nil"/>
              <w:bottom w:val="nil"/>
              <w:right w:val="nil"/>
            </w:tcBorders>
            <w:shd w:val="clear" w:color="auto" w:fill="auto"/>
            <w:noWrap/>
            <w:vAlign w:val="center"/>
            <w:hideMark/>
          </w:tcPr>
          <w:p w14:paraId="2CD68E5E" w14:textId="1D632501" w:rsidR="004375B5" w:rsidRPr="00765B5D" w:rsidRDefault="00EB4D9A" w:rsidP="004375B5">
            <w:pPr>
              <w:spacing w:after="0" w:line="240" w:lineRule="auto"/>
              <w:ind w:firstLineChars="100" w:firstLine="200"/>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Obaveze  KOSTT-it -predv</w:t>
            </w:r>
            <w:r w:rsidR="005F6BCC">
              <w:rPr>
                <w:rFonts w:asciiTheme="minorHAnsi" w:eastAsia="Times New Roman" w:hAnsiTheme="minorHAnsi" w:cstheme="minorHAnsi"/>
                <w:sz w:val="20"/>
                <w:szCs w:val="20"/>
                <w:lang w:val="sq-AL"/>
              </w:rPr>
              <w:t>i</w:t>
            </w:r>
            <w:r>
              <w:rPr>
                <w:rFonts w:eastAsia="Times New Roman" w:cs="Calibri"/>
                <w:sz w:val="20"/>
                <w:szCs w:val="20"/>
                <w:lang w:val="sq-AL"/>
              </w:rPr>
              <w:t>đ</w:t>
            </w:r>
            <w:r>
              <w:rPr>
                <w:rFonts w:asciiTheme="minorHAnsi" w:eastAsia="Times New Roman" w:hAnsiTheme="minorHAnsi" w:cstheme="minorHAnsi"/>
                <w:sz w:val="20"/>
                <w:szCs w:val="20"/>
                <w:lang w:val="sq-AL"/>
              </w:rPr>
              <w:t>enje</w:t>
            </w:r>
          </w:p>
        </w:tc>
        <w:tc>
          <w:tcPr>
            <w:tcW w:w="917" w:type="dxa"/>
            <w:tcBorders>
              <w:top w:val="single" w:sz="4" w:space="0" w:color="auto"/>
              <w:left w:val="single" w:sz="4" w:space="0" w:color="auto"/>
              <w:bottom w:val="single" w:sz="4" w:space="0" w:color="auto"/>
              <w:right w:val="single" w:sz="4" w:space="0" w:color="auto"/>
            </w:tcBorders>
          </w:tcPr>
          <w:p w14:paraId="7814072C" w14:textId="599FF56A"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C2569">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E2064B8" w14:textId="41C9DC44"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1.23</w:t>
            </w:r>
          </w:p>
        </w:tc>
        <w:tc>
          <w:tcPr>
            <w:tcW w:w="932" w:type="dxa"/>
            <w:tcBorders>
              <w:top w:val="single" w:sz="4" w:space="0" w:color="auto"/>
              <w:left w:val="nil"/>
              <w:bottom w:val="single" w:sz="4" w:space="0" w:color="auto"/>
              <w:right w:val="single" w:sz="4" w:space="0" w:color="auto"/>
            </w:tcBorders>
            <w:shd w:val="clear" w:color="auto" w:fill="auto"/>
            <w:vAlign w:val="center"/>
          </w:tcPr>
          <w:p w14:paraId="7BC4C600"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sz w:val="20"/>
                <w:szCs w:val="20"/>
                <w:lang w:val="sq-AL"/>
              </w:rPr>
              <w:t>0.92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6ECE210" w14:textId="3ACDB99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2.02</w:t>
            </w:r>
          </w:p>
        </w:tc>
      </w:tr>
      <w:tr w:rsidR="004375B5" w:rsidRPr="00765B5D" w14:paraId="0F8630DD" w14:textId="77777777" w:rsidTr="00D14FA8">
        <w:trPr>
          <w:trHeight w:val="278"/>
        </w:trPr>
        <w:tc>
          <w:tcPr>
            <w:tcW w:w="5445" w:type="dxa"/>
            <w:tcBorders>
              <w:top w:val="nil"/>
              <w:left w:val="nil"/>
              <w:bottom w:val="nil"/>
              <w:right w:val="nil"/>
            </w:tcBorders>
            <w:shd w:val="clear" w:color="auto" w:fill="auto"/>
            <w:noWrap/>
            <w:vAlign w:val="center"/>
          </w:tcPr>
          <w:p w14:paraId="151EDF0C" w14:textId="533E7033" w:rsidR="004375B5" w:rsidRPr="00765B5D" w:rsidRDefault="00EB4D9A" w:rsidP="004375B5">
            <w:pPr>
              <w:spacing w:after="0" w:line="240" w:lineRule="auto"/>
              <w:ind w:firstLineChars="100" w:firstLine="200"/>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Obaveze</w:t>
            </w:r>
            <w:r w:rsidR="004375B5" w:rsidRPr="00765B5D">
              <w:rPr>
                <w:rFonts w:asciiTheme="minorHAnsi" w:eastAsia="Times New Roman" w:hAnsiTheme="minorHAnsi" w:cstheme="minorHAnsi"/>
                <w:sz w:val="20"/>
                <w:szCs w:val="20"/>
                <w:lang w:val="sq-AL"/>
              </w:rPr>
              <w:t xml:space="preserve"> KOSTT-it </w:t>
            </w:r>
            <w:r w:rsidR="005F6BCC">
              <w:rPr>
                <w:rFonts w:asciiTheme="minorHAnsi" w:eastAsia="Times New Roman" w:hAnsiTheme="minorHAnsi" w:cstheme="minorHAnsi"/>
                <w:sz w:val="20"/>
                <w:szCs w:val="20"/>
                <w:lang w:val="sq-AL"/>
              </w:rPr>
              <w:t>– teku</w:t>
            </w:r>
            <w:r w:rsidR="005F6BCC">
              <w:rPr>
                <w:rFonts w:eastAsia="Times New Roman" w:cs="Calibri"/>
                <w:sz w:val="20"/>
                <w:szCs w:val="20"/>
                <w:lang w:val="sq-AL"/>
              </w:rPr>
              <w:t>ć</w:t>
            </w:r>
            <w:r w:rsidR="005F6BCC">
              <w:rPr>
                <w:rFonts w:asciiTheme="minorHAnsi" w:eastAsia="Times New Roman" w:hAnsiTheme="minorHAnsi" w:cstheme="minorHAnsi"/>
                <w:sz w:val="20"/>
                <w:szCs w:val="20"/>
                <w:lang w:val="sq-AL"/>
              </w:rPr>
              <w:t>e</w:t>
            </w:r>
          </w:p>
        </w:tc>
        <w:tc>
          <w:tcPr>
            <w:tcW w:w="917" w:type="dxa"/>
            <w:tcBorders>
              <w:top w:val="single" w:sz="4" w:space="0" w:color="auto"/>
              <w:left w:val="single" w:sz="4" w:space="0" w:color="auto"/>
              <w:bottom w:val="single" w:sz="4" w:space="0" w:color="auto"/>
              <w:right w:val="single" w:sz="4" w:space="0" w:color="auto"/>
            </w:tcBorders>
          </w:tcPr>
          <w:p w14:paraId="244A92BD" w14:textId="6896CAE8"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C2569">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C5F7F89" w14:textId="3364277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p>
        </w:tc>
        <w:tc>
          <w:tcPr>
            <w:tcW w:w="932" w:type="dxa"/>
            <w:tcBorders>
              <w:top w:val="single" w:sz="4" w:space="0" w:color="auto"/>
              <w:left w:val="nil"/>
              <w:bottom w:val="single" w:sz="4" w:space="0" w:color="auto"/>
              <w:right w:val="single" w:sz="4" w:space="0" w:color="auto"/>
            </w:tcBorders>
            <w:shd w:val="clear" w:color="auto" w:fill="auto"/>
            <w:vAlign w:val="center"/>
          </w:tcPr>
          <w:p w14:paraId="56ACA31A" w14:textId="1EB3094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1.07</w:t>
            </w:r>
          </w:p>
        </w:tc>
        <w:tc>
          <w:tcPr>
            <w:tcW w:w="1049" w:type="dxa"/>
            <w:tcBorders>
              <w:top w:val="single" w:sz="4" w:space="0" w:color="auto"/>
              <w:left w:val="nil"/>
              <w:bottom w:val="single" w:sz="4" w:space="0" w:color="auto"/>
              <w:right w:val="single" w:sz="4" w:space="0" w:color="auto"/>
            </w:tcBorders>
            <w:shd w:val="clear" w:color="auto" w:fill="auto"/>
            <w:vAlign w:val="center"/>
          </w:tcPr>
          <w:p w14:paraId="37FA11B5" w14:textId="77777777" w:rsidR="004375B5"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003903C5"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0E9AC9F0" w14:textId="05E31C1F" w:rsidR="004375B5" w:rsidRPr="00765B5D" w:rsidRDefault="005F6BCC" w:rsidP="00644781">
            <w:pPr>
              <w:spacing w:after="0" w:line="240" w:lineRule="auto"/>
              <w:rPr>
                <w:rFonts w:asciiTheme="minorHAnsi" w:eastAsia="Times New Roman" w:hAnsiTheme="minorHAnsi" w:cstheme="minorHAnsi"/>
                <w:b/>
                <w:bCs/>
                <w:sz w:val="20"/>
                <w:szCs w:val="20"/>
                <w:lang w:val="sq-AL"/>
              </w:rPr>
            </w:pPr>
            <w:r w:rsidRPr="005F6BCC">
              <w:rPr>
                <w:rFonts w:asciiTheme="minorHAnsi" w:eastAsia="Times New Roman" w:hAnsiTheme="minorHAnsi" w:cstheme="minorHAnsi"/>
                <w:b/>
                <w:bCs/>
                <w:sz w:val="20"/>
                <w:szCs w:val="20"/>
                <w:lang w:val="sq-AL"/>
              </w:rPr>
              <w:t>Gubitak troškova</w:t>
            </w:r>
            <w:r w:rsidR="004375B5" w:rsidRPr="00765B5D">
              <w:rPr>
                <w:rFonts w:asciiTheme="minorHAnsi" w:eastAsia="Times New Roman" w:hAnsiTheme="minorHAnsi" w:cstheme="minorHAnsi"/>
                <w:b/>
                <w:bCs/>
                <w:sz w:val="20"/>
                <w:szCs w:val="20"/>
                <w:lang w:val="sq-AL"/>
              </w:rPr>
              <w:t xml:space="preserve"> (LSSCt)</w:t>
            </w:r>
          </w:p>
        </w:tc>
        <w:tc>
          <w:tcPr>
            <w:tcW w:w="917" w:type="dxa"/>
            <w:tcBorders>
              <w:top w:val="single" w:sz="4" w:space="0" w:color="auto"/>
              <w:left w:val="nil"/>
              <w:bottom w:val="nil"/>
              <w:right w:val="nil"/>
            </w:tcBorders>
            <w:shd w:val="clear" w:color="auto" w:fill="B8CCE4" w:themeFill="accent1" w:themeFillTint="66"/>
          </w:tcPr>
          <w:p w14:paraId="0F2D471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nil"/>
              <w:right w:val="nil"/>
            </w:tcBorders>
            <w:shd w:val="clear" w:color="auto" w:fill="B8CCE4" w:themeFill="accent1" w:themeFillTint="66"/>
            <w:noWrap/>
            <w:vAlign w:val="center"/>
          </w:tcPr>
          <w:p w14:paraId="6341BF19" w14:textId="5BEC3154"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nil"/>
              <w:right w:val="nil"/>
            </w:tcBorders>
            <w:shd w:val="clear" w:color="auto" w:fill="B8CCE4" w:themeFill="accent1" w:themeFillTint="66"/>
            <w:noWrap/>
            <w:vAlign w:val="center"/>
          </w:tcPr>
          <w:p w14:paraId="6C4D03C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nil"/>
              <w:right w:val="nil"/>
            </w:tcBorders>
            <w:shd w:val="clear" w:color="auto" w:fill="B8CCE4" w:themeFill="accent1" w:themeFillTint="66"/>
            <w:noWrap/>
            <w:vAlign w:val="center"/>
            <w:hideMark/>
          </w:tcPr>
          <w:p w14:paraId="619730D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06A2469C" w14:textId="77777777" w:rsidTr="00D14FA8">
        <w:trPr>
          <w:trHeight w:val="278"/>
        </w:trPr>
        <w:tc>
          <w:tcPr>
            <w:tcW w:w="5445" w:type="dxa"/>
            <w:tcBorders>
              <w:top w:val="nil"/>
              <w:left w:val="nil"/>
              <w:bottom w:val="nil"/>
              <w:right w:val="nil"/>
            </w:tcBorders>
            <w:shd w:val="clear" w:color="auto" w:fill="auto"/>
            <w:noWrap/>
            <w:vAlign w:val="center"/>
            <w:hideMark/>
          </w:tcPr>
          <w:p w14:paraId="26524C5F" w14:textId="1381A129" w:rsidR="004375B5" w:rsidRPr="00765B5D" w:rsidRDefault="005F6BCC" w:rsidP="00644781">
            <w:pPr>
              <w:spacing w:after="0" w:line="240" w:lineRule="auto"/>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Predvi</w:t>
            </w:r>
            <w:r>
              <w:rPr>
                <w:rFonts w:eastAsia="Times New Roman" w:cs="Calibri"/>
                <w:b/>
                <w:bCs/>
                <w:sz w:val="20"/>
                <w:szCs w:val="20"/>
                <w:lang w:val="sq-AL"/>
              </w:rPr>
              <w:t>đ</w:t>
            </w:r>
            <w:r>
              <w:rPr>
                <w:rFonts w:asciiTheme="minorHAnsi" w:eastAsia="Times New Roman" w:hAnsiTheme="minorHAnsi" w:cstheme="minorHAnsi"/>
                <w:b/>
                <w:bCs/>
                <w:sz w:val="20"/>
                <w:szCs w:val="20"/>
                <w:lang w:val="sq-AL"/>
              </w:rPr>
              <w:t>enje</w:t>
            </w:r>
          </w:p>
        </w:tc>
        <w:tc>
          <w:tcPr>
            <w:tcW w:w="917" w:type="dxa"/>
            <w:tcBorders>
              <w:top w:val="nil"/>
              <w:left w:val="nil"/>
              <w:bottom w:val="nil"/>
              <w:right w:val="nil"/>
            </w:tcBorders>
          </w:tcPr>
          <w:p w14:paraId="344CAE1C"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auto"/>
            <w:noWrap/>
            <w:vAlign w:val="center"/>
          </w:tcPr>
          <w:p w14:paraId="3E48AE02" w14:textId="570D4CE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auto"/>
            <w:noWrap/>
            <w:vAlign w:val="center"/>
          </w:tcPr>
          <w:p w14:paraId="05484E4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auto"/>
            <w:noWrap/>
            <w:vAlign w:val="center"/>
            <w:hideMark/>
          </w:tcPr>
          <w:p w14:paraId="41EEF1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1E3E7FFD" w14:textId="77777777" w:rsidTr="00D14FA8">
        <w:trPr>
          <w:trHeight w:val="278"/>
        </w:trPr>
        <w:tc>
          <w:tcPr>
            <w:tcW w:w="5445" w:type="dxa"/>
            <w:tcBorders>
              <w:top w:val="nil"/>
              <w:left w:val="nil"/>
              <w:bottom w:val="nil"/>
              <w:right w:val="nil"/>
            </w:tcBorders>
            <w:shd w:val="clear" w:color="auto" w:fill="auto"/>
            <w:noWrap/>
            <w:vAlign w:val="center"/>
            <w:hideMark/>
          </w:tcPr>
          <w:p w14:paraId="1A7B7BB5"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LSSAt</w:t>
            </w:r>
          </w:p>
        </w:tc>
        <w:tc>
          <w:tcPr>
            <w:tcW w:w="917" w:type="dxa"/>
            <w:tcBorders>
              <w:top w:val="single" w:sz="4" w:space="0" w:color="auto"/>
              <w:left w:val="single" w:sz="4" w:space="0" w:color="auto"/>
              <w:bottom w:val="single" w:sz="4" w:space="0" w:color="auto"/>
              <w:right w:val="single" w:sz="4" w:space="0" w:color="auto"/>
            </w:tcBorders>
          </w:tcPr>
          <w:p w14:paraId="768060F5" w14:textId="3B0646F1"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45889A" w14:textId="7CC040B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1C96381D" w14:textId="748BFA1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9F384E7" w14:textId="5FB4FD1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16.40%</w:t>
            </w:r>
          </w:p>
        </w:tc>
      </w:tr>
      <w:tr w:rsidR="004375B5" w:rsidRPr="00765B5D" w14:paraId="0FFEC059" w14:textId="77777777" w:rsidTr="00D14FA8">
        <w:trPr>
          <w:trHeight w:val="278"/>
        </w:trPr>
        <w:tc>
          <w:tcPr>
            <w:tcW w:w="5445" w:type="dxa"/>
            <w:tcBorders>
              <w:top w:val="nil"/>
              <w:left w:val="nil"/>
              <w:bottom w:val="nil"/>
              <w:right w:val="nil"/>
            </w:tcBorders>
            <w:shd w:val="clear" w:color="auto" w:fill="auto"/>
            <w:noWrap/>
            <w:vAlign w:val="center"/>
            <w:hideMark/>
          </w:tcPr>
          <w:p w14:paraId="5EC0E03B"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REUEt</w:t>
            </w:r>
          </w:p>
        </w:tc>
        <w:tc>
          <w:tcPr>
            <w:tcW w:w="917" w:type="dxa"/>
            <w:tcBorders>
              <w:top w:val="nil"/>
              <w:left w:val="single" w:sz="4" w:space="0" w:color="auto"/>
              <w:bottom w:val="single" w:sz="4" w:space="0" w:color="auto"/>
              <w:right w:val="single" w:sz="4" w:space="0" w:color="auto"/>
            </w:tcBorders>
          </w:tcPr>
          <w:p w14:paraId="4DEB6A28" w14:textId="7ADC4D69"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286710AD" w14:textId="3614902A"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4,964.9</w:t>
            </w:r>
          </w:p>
        </w:tc>
        <w:tc>
          <w:tcPr>
            <w:tcW w:w="932" w:type="dxa"/>
            <w:tcBorders>
              <w:top w:val="nil"/>
              <w:left w:val="nil"/>
              <w:bottom w:val="single" w:sz="4" w:space="0" w:color="auto"/>
              <w:right w:val="single" w:sz="4" w:space="0" w:color="auto"/>
            </w:tcBorders>
            <w:shd w:val="clear" w:color="auto" w:fill="auto"/>
            <w:vAlign w:val="center"/>
          </w:tcPr>
          <w:p w14:paraId="14F77D24" w14:textId="219777CF"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5,41</w:t>
            </w:r>
            <w:r>
              <w:rPr>
                <w:rFonts w:asciiTheme="minorHAnsi" w:eastAsia="Times New Roman" w:hAnsiTheme="minorHAnsi" w:cstheme="minorHAnsi"/>
                <w:color w:val="000000"/>
                <w:sz w:val="20"/>
                <w:szCs w:val="20"/>
                <w:lang w:val="sq-AL"/>
              </w:rPr>
              <w:t>4</w:t>
            </w:r>
            <w:r w:rsidRPr="006C02A5">
              <w:rPr>
                <w:rFonts w:asciiTheme="minorHAnsi" w:eastAsia="Times New Roman" w:hAnsiTheme="minorHAnsi" w:cstheme="minorHAnsi"/>
                <w:color w:val="000000"/>
                <w:sz w:val="20"/>
                <w:szCs w:val="20"/>
                <w:lang w:val="sq-AL"/>
              </w:rPr>
              <w:t>.</w:t>
            </w:r>
            <w:r>
              <w:rPr>
                <w:rFonts w:asciiTheme="minorHAnsi" w:eastAsia="Times New Roman" w:hAnsiTheme="minorHAnsi" w:cstheme="minorHAnsi"/>
                <w:color w:val="000000"/>
                <w:sz w:val="20"/>
                <w:szCs w:val="20"/>
                <w:lang w:val="sq-AL"/>
              </w:rPr>
              <w:t>3</w:t>
            </w:r>
          </w:p>
        </w:tc>
        <w:tc>
          <w:tcPr>
            <w:tcW w:w="1049" w:type="dxa"/>
            <w:tcBorders>
              <w:top w:val="nil"/>
              <w:left w:val="nil"/>
              <w:bottom w:val="single" w:sz="4" w:space="0" w:color="auto"/>
              <w:right w:val="single" w:sz="4" w:space="0" w:color="auto"/>
            </w:tcBorders>
            <w:shd w:val="clear" w:color="auto" w:fill="auto"/>
            <w:vAlign w:val="center"/>
          </w:tcPr>
          <w:p w14:paraId="75887BB5"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5,451.6</w:t>
            </w:r>
          </w:p>
        </w:tc>
      </w:tr>
      <w:tr w:rsidR="004375B5" w:rsidRPr="00765B5D" w14:paraId="05DE8312" w14:textId="77777777" w:rsidTr="00D14FA8">
        <w:trPr>
          <w:trHeight w:val="278"/>
        </w:trPr>
        <w:tc>
          <w:tcPr>
            <w:tcW w:w="5445" w:type="dxa"/>
            <w:tcBorders>
              <w:top w:val="nil"/>
              <w:left w:val="nil"/>
              <w:bottom w:val="nil"/>
              <w:right w:val="nil"/>
            </w:tcBorders>
            <w:shd w:val="clear" w:color="auto" w:fill="auto"/>
            <w:noWrap/>
            <w:vAlign w:val="center"/>
            <w:hideMark/>
          </w:tcPr>
          <w:p w14:paraId="3B25D7E5"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WHEAt</w:t>
            </w:r>
          </w:p>
        </w:tc>
        <w:tc>
          <w:tcPr>
            <w:tcW w:w="917" w:type="dxa"/>
            <w:tcBorders>
              <w:top w:val="nil"/>
              <w:left w:val="single" w:sz="4" w:space="0" w:color="auto"/>
              <w:bottom w:val="single" w:sz="4" w:space="0" w:color="auto"/>
              <w:right w:val="single" w:sz="4" w:space="0" w:color="auto"/>
            </w:tcBorders>
          </w:tcPr>
          <w:p w14:paraId="4FA58E77" w14:textId="7092A86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35D8438F" w14:textId="5B5464A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44.88</w:t>
            </w:r>
          </w:p>
        </w:tc>
        <w:tc>
          <w:tcPr>
            <w:tcW w:w="932" w:type="dxa"/>
            <w:tcBorders>
              <w:top w:val="nil"/>
              <w:left w:val="nil"/>
              <w:bottom w:val="single" w:sz="4" w:space="0" w:color="auto"/>
              <w:right w:val="single" w:sz="4" w:space="0" w:color="auto"/>
            </w:tcBorders>
            <w:shd w:val="clear" w:color="auto" w:fill="auto"/>
            <w:vAlign w:val="center"/>
          </w:tcPr>
          <w:p w14:paraId="44A496D9" w14:textId="739B9FF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49.19</w:t>
            </w:r>
          </w:p>
        </w:tc>
        <w:tc>
          <w:tcPr>
            <w:tcW w:w="1049" w:type="dxa"/>
            <w:tcBorders>
              <w:top w:val="nil"/>
              <w:left w:val="nil"/>
              <w:bottom w:val="single" w:sz="4" w:space="0" w:color="auto"/>
              <w:right w:val="single" w:sz="4" w:space="0" w:color="auto"/>
            </w:tcBorders>
            <w:shd w:val="clear" w:color="auto" w:fill="auto"/>
            <w:vAlign w:val="center"/>
          </w:tcPr>
          <w:p w14:paraId="793BCAC3"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46.05</w:t>
            </w:r>
          </w:p>
        </w:tc>
      </w:tr>
      <w:tr w:rsidR="004375B5" w:rsidRPr="00765B5D" w14:paraId="7994C77E" w14:textId="77777777" w:rsidTr="00D14FA8">
        <w:trPr>
          <w:trHeight w:val="236"/>
        </w:trPr>
        <w:tc>
          <w:tcPr>
            <w:tcW w:w="5445" w:type="dxa"/>
            <w:tcBorders>
              <w:top w:val="nil"/>
              <w:left w:val="nil"/>
              <w:bottom w:val="nil"/>
              <w:right w:val="nil"/>
            </w:tcBorders>
            <w:shd w:val="clear" w:color="auto" w:fill="auto"/>
            <w:noWrap/>
            <w:vAlign w:val="center"/>
            <w:hideMark/>
          </w:tcPr>
          <w:p w14:paraId="4456F021" w14:textId="7D949118" w:rsidR="004375B5" w:rsidRPr="00765B5D" w:rsidRDefault="005F6BCC" w:rsidP="004375B5">
            <w:pPr>
              <w:spacing w:after="0" w:line="240" w:lineRule="auto"/>
              <w:ind w:firstLineChars="100" w:firstLine="200"/>
              <w:rPr>
                <w:rFonts w:asciiTheme="minorHAnsi" w:eastAsia="Times New Roman" w:hAnsiTheme="minorHAnsi" w:cstheme="minorHAnsi"/>
                <w:sz w:val="20"/>
                <w:szCs w:val="20"/>
                <w:lang w:val="sq-AL"/>
              </w:rPr>
            </w:pPr>
            <w:r w:rsidRPr="005F6BCC">
              <w:rPr>
                <w:rFonts w:asciiTheme="minorHAnsi" w:eastAsia="Times New Roman" w:hAnsiTheme="minorHAnsi" w:cstheme="minorHAnsi"/>
                <w:sz w:val="20"/>
                <w:szCs w:val="20"/>
                <w:lang w:val="sq-AL"/>
              </w:rPr>
              <w:t>Procenjeni troškovi gubitaka</w:t>
            </w:r>
          </w:p>
        </w:tc>
        <w:tc>
          <w:tcPr>
            <w:tcW w:w="917" w:type="dxa"/>
            <w:tcBorders>
              <w:top w:val="nil"/>
              <w:left w:val="single" w:sz="4" w:space="0" w:color="auto"/>
              <w:bottom w:val="single" w:sz="4" w:space="0" w:color="auto"/>
              <w:right w:val="single" w:sz="4" w:space="0" w:color="auto"/>
            </w:tcBorders>
          </w:tcPr>
          <w:p w14:paraId="3991233C" w14:textId="45529F8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5646EA5E" w14:textId="1D574F7D"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41.89</w:t>
            </w:r>
          </w:p>
        </w:tc>
        <w:tc>
          <w:tcPr>
            <w:tcW w:w="932" w:type="dxa"/>
            <w:tcBorders>
              <w:top w:val="nil"/>
              <w:left w:val="nil"/>
              <w:bottom w:val="single" w:sz="4" w:space="0" w:color="auto"/>
              <w:right w:val="single" w:sz="4" w:space="0" w:color="auto"/>
            </w:tcBorders>
            <w:shd w:val="clear" w:color="auto" w:fill="auto"/>
            <w:vAlign w:val="center"/>
          </w:tcPr>
          <w:p w14:paraId="799A03D1" w14:textId="24409EB3"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46.88</w:t>
            </w:r>
          </w:p>
        </w:tc>
        <w:tc>
          <w:tcPr>
            <w:tcW w:w="1049" w:type="dxa"/>
            <w:tcBorders>
              <w:top w:val="nil"/>
              <w:left w:val="nil"/>
              <w:bottom w:val="single" w:sz="4" w:space="0" w:color="auto"/>
              <w:right w:val="single" w:sz="4" w:space="0" w:color="auto"/>
            </w:tcBorders>
            <w:shd w:val="clear" w:color="auto" w:fill="auto"/>
            <w:vAlign w:val="center"/>
          </w:tcPr>
          <w:p w14:paraId="249169CE"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41.17</w:t>
            </w:r>
          </w:p>
        </w:tc>
      </w:tr>
      <w:tr w:rsidR="004375B5" w:rsidRPr="00765B5D" w14:paraId="27EF3E02" w14:textId="77777777" w:rsidTr="00D14FA8">
        <w:trPr>
          <w:trHeight w:val="236"/>
        </w:trPr>
        <w:tc>
          <w:tcPr>
            <w:tcW w:w="5445" w:type="dxa"/>
            <w:tcBorders>
              <w:top w:val="nil"/>
              <w:left w:val="nil"/>
              <w:bottom w:val="nil"/>
              <w:right w:val="nil"/>
            </w:tcBorders>
            <w:shd w:val="clear" w:color="auto" w:fill="auto"/>
            <w:noWrap/>
            <w:vAlign w:val="center"/>
            <w:hideMark/>
          </w:tcPr>
          <w:p w14:paraId="5BB62DCC" w14:textId="325C8F29" w:rsidR="004375B5" w:rsidRPr="00765B5D" w:rsidRDefault="005F6BCC" w:rsidP="00AD5C8C">
            <w:pPr>
              <w:spacing w:after="0" w:line="240" w:lineRule="auto"/>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Teku</w:t>
            </w:r>
            <w:r>
              <w:rPr>
                <w:rFonts w:eastAsia="Times New Roman" w:cs="Calibri"/>
                <w:b/>
                <w:bCs/>
                <w:sz w:val="20"/>
                <w:szCs w:val="20"/>
                <w:lang w:val="sq-AL"/>
              </w:rPr>
              <w:t>ć</w:t>
            </w:r>
            <w:r>
              <w:rPr>
                <w:rFonts w:asciiTheme="minorHAnsi" w:eastAsia="Times New Roman" w:hAnsiTheme="minorHAnsi" w:cstheme="minorHAnsi"/>
                <w:b/>
                <w:bCs/>
                <w:sz w:val="20"/>
                <w:szCs w:val="20"/>
                <w:lang w:val="sq-AL"/>
              </w:rPr>
              <w:t>e</w:t>
            </w:r>
          </w:p>
        </w:tc>
        <w:tc>
          <w:tcPr>
            <w:tcW w:w="917" w:type="dxa"/>
            <w:tcBorders>
              <w:top w:val="nil"/>
              <w:left w:val="nil"/>
              <w:bottom w:val="nil"/>
              <w:right w:val="nil"/>
            </w:tcBorders>
          </w:tcPr>
          <w:p w14:paraId="271D3123"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auto"/>
            <w:noWrap/>
            <w:vAlign w:val="center"/>
          </w:tcPr>
          <w:p w14:paraId="7707E337" w14:textId="100190D0"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auto"/>
            <w:noWrap/>
            <w:vAlign w:val="center"/>
          </w:tcPr>
          <w:p w14:paraId="04A4BBB5"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auto"/>
            <w:noWrap/>
            <w:vAlign w:val="center"/>
          </w:tcPr>
          <w:p w14:paraId="3EC1B2A5"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r>
      <w:tr w:rsidR="004375B5" w:rsidRPr="00765B5D" w14:paraId="2659CFE2" w14:textId="77777777" w:rsidTr="00D14FA8">
        <w:trPr>
          <w:trHeight w:val="236"/>
        </w:trPr>
        <w:tc>
          <w:tcPr>
            <w:tcW w:w="5445" w:type="dxa"/>
            <w:tcBorders>
              <w:top w:val="nil"/>
              <w:left w:val="nil"/>
              <w:bottom w:val="nil"/>
              <w:right w:val="nil"/>
            </w:tcBorders>
            <w:shd w:val="clear" w:color="auto" w:fill="auto"/>
            <w:noWrap/>
            <w:vAlign w:val="center"/>
            <w:hideMark/>
          </w:tcPr>
          <w:p w14:paraId="202A92F1" w14:textId="77777777" w:rsidR="004375B5" w:rsidRPr="00765B5D" w:rsidRDefault="004375B5" w:rsidP="00AD5C8C">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LSSAt</w:t>
            </w:r>
          </w:p>
        </w:tc>
        <w:tc>
          <w:tcPr>
            <w:tcW w:w="917" w:type="dxa"/>
            <w:tcBorders>
              <w:top w:val="single" w:sz="4" w:space="0" w:color="auto"/>
              <w:left w:val="single" w:sz="4" w:space="0" w:color="auto"/>
              <w:bottom w:val="single" w:sz="4" w:space="0" w:color="auto"/>
              <w:right w:val="single" w:sz="4" w:space="0" w:color="auto"/>
            </w:tcBorders>
          </w:tcPr>
          <w:p w14:paraId="71A272A9" w14:textId="0E66D2A0"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C53F494" w14:textId="25F2E0AF"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5BDAA11D" w14:textId="67B2D524"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6D63BD15" w14:textId="77777777"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78635C41" w14:textId="77777777" w:rsidTr="00D14FA8">
        <w:trPr>
          <w:trHeight w:val="236"/>
        </w:trPr>
        <w:tc>
          <w:tcPr>
            <w:tcW w:w="5445" w:type="dxa"/>
            <w:tcBorders>
              <w:top w:val="nil"/>
              <w:left w:val="nil"/>
              <w:bottom w:val="nil"/>
              <w:right w:val="nil"/>
            </w:tcBorders>
            <w:shd w:val="clear" w:color="auto" w:fill="auto"/>
            <w:noWrap/>
            <w:vAlign w:val="center"/>
            <w:hideMark/>
          </w:tcPr>
          <w:p w14:paraId="5E88D150"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REUEt</w:t>
            </w:r>
          </w:p>
        </w:tc>
        <w:tc>
          <w:tcPr>
            <w:tcW w:w="917" w:type="dxa"/>
            <w:tcBorders>
              <w:top w:val="nil"/>
              <w:left w:val="single" w:sz="4" w:space="0" w:color="auto"/>
              <w:bottom w:val="single" w:sz="4" w:space="0" w:color="auto"/>
              <w:right w:val="single" w:sz="4" w:space="0" w:color="auto"/>
            </w:tcBorders>
          </w:tcPr>
          <w:p w14:paraId="5CEC4A31" w14:textId="39DB0053"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GWh</w:t>
            </w:r>
          </w:p>
        </w:tc>
        <w:tc>
          <w:tcPr>
            <w:tcW w:w="852" w:type="dxa"/>
            <w:tcBorders>
              <w:top w:val="nil"/>
              <w:left w:val="single" w:sz="4" w:space="0" w:color="auto"/>
              <w:bottom w:val="single" w:sz="4" w:space="0" w:color="auto"/>
              <w:right w:val="single" w:sz="4" w:space="0" w:color="auto"/>
            </w:tcBorders>
            <w:shd w:val="clear" w:color="auto" w:fill="auto"/>
            <w:vAlign w:val="center"/>
          </w:tcPr>
          <w:p w14:paraId="41D2DD74" w14:textId="0015BC7A"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5,322.0</w:t>
            </w:r>
          </w:p>
        </w:tc>
        <w:tc>
          <w:tcPr>
            <w:tcW w:w="932" w:type="dxa"/>
            <w:tcBorders>
              <w:top w:val="nil"/>
              <w:left w:val="nil"/>
              <w:bottom w:val="single" w:sz="4" w:space="0" w:color="auto"/>
              <w:right w:val="single" w:sz="4" w:space="0" w:color="auto"/>
            </w:tcBorders>
            <w:shd w:val="clear" w:color="auto" w:fill="auto"/>
            <w:vAlign w:val="center"/>
          </w:tcPr>
          <w:p w14:paraId="51867A7D" w14:textId="77777777"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5,549.5</w:t>
            </w:r>
          </w:p>
        </w:tc>
        <w:tc>
          <w:tcPr>
            <w:tcW w:w="1049" w:type="dxa"/>
            <w:tcBorders>
              <w:top w:val="nil"/>
              <w:left w:val="nil"/>
              <w:bottom w:val="single" w:sz="4" w:space="0" w:color="auto"/>
              <w:right w:val="single" w:sz="4" w:space="0" w:color="auto"/>
            </w:tcBorders>
            <w:shd w:val="clear" w:color="auto" w:fill="auto"/>
            <w:vAlign w:val="center"/>
          </w:tcPr>
          <w:p w14:paraId="2F15F4F6" w14:textId="77777777"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30EFF9C3" w14:textId="77777777" w:rsidTr="00D14FA8">
        <w:trPr>
          <w:trHeight w:val="236"/>
        </w:trPr>
        <w:tc>
          <w:tcPr>
            <w:tcW w:w="5445" w:type="dxa"/>
            <w:tcBorders>
              <w:top w:val="nil"/>
              <w:left w:val="nil"/>
              <w:bottom w:val="nil"/>
              <w:right w:val="nil"/>
            </w:tcBorders>
            <w:shd w:val="clear" w:color="auto" w:fill="auto"/>
            <w:noWrap/>
            <w:vAlign w:val="center"/>
            <w:hideMark/>
          </w:tcPr>
          <w:p w14:paraId="16D7101E"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WHEAt</w:t>
            </w:r>
          </w:p>
        </w:tc>
        <w:tc>
          <w:tcPr>
            <w:tcW w:w="917" w:type="dxa"/>
            <w:tcBorders>
              <w:top w:val="nil"/>
              <w:left w:val="single" w:sz="4" w:space="0" w:color="auto"/>
              <w:bottom w:val="single" w:sz="4" w:space="0" w:color="auto"/>
              <w:right w:val="single" w:sz="4" w:space="0" w:color="auto"/>
            </w:tcBorders>
          </w:tcPr>
          <w:p w14:paraId="125BD230" w14:textId="248BE9AE"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€/MWh</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539214F5" w14:textId="6FE72AA4"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42.89</w:t>
            </w:r>
          </w:p>
        </w:tc>
        <w:tc>
          <w:tcPr>
            <w:tcW w:w="932" w:type="dxa"/>
            <w:tcBorders>
              <w:top w:val="nil"/>
              <w:left w:val="nil"/>
              <w:bottom w:val="single" w:sz="4" w:space="0" w:color="auto"/>
              <w:right w:val="single" w:sz="4" w:space="0" w:color="auto"/>
            </w:tcBorders>
            <w:shd w:val="clear" w:color="auto" w:fill="auto"/>
            <w:noWrap/>
            <w:vAlign w:val="center"/>
          </w:tcPr>
          <w:p w14:paraId="263ACE7A"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42.57</w:t>
            </w:r>
          </w:p>
        </w:tc>
        <w:tc>
          <w:tcPr>
            <w:tcW w:w="1049" w:type="dxa"/>
            <w:tcBorders>
              <w:top w:val="nil"/>
              <w:left w:val="nil"/>
              <w:bottom w:val="single" w:sz="4" w:space="0" w:color="auto"/>
              <w:right w:val="single" w:sz="4" w:space="0" w:color="auto"/>
            </w:tcBorders>
            <w:shd w:val="clear" w:color="auto" w:fill="auto"/>
            <w:noWrap/>
            <w:vAlign w:val="center"/>
          </w:tcPr>
          <w:p w14:paraId="390FDF22"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p>
        </w:tc>
      </w:tr>
      <w:tr w:rsidR="004375B5" w:rsidRPr="00765B5D" w14:paraId="3DF71CD9" w14:textId="77777777" w:rsidTr="00D14FA8">
        <w:trPr>
          <w:trHeight w:val="236"/>
        </w:trPr>
        <w:tc>
          <w:tcPr>
            <w:tcW w:w="5445" w:type="dxa"/>
            <w:tcBorders>
              <w:top w:val="nil"/>
              <w:left w:val="nil"/>
              <w:bottom w:val="nil"/>
              <w:right w:val="nil"/>
            </w:tcBorders>
            <w:shd w:val="clear" w:color="auto" w:fill="auto"/>
            <w:noWrap/>
            <w:vAlign w:val="center"/>
            <w:hideMark/>
          </w:tcPr>
          <w:p w14:paraId="014D8297" w14:textId="4CC5F4E3" w:rsidR="004375B5" w:rsidRPr="00765B5D" w:rsidRDefault="005F6BCC" w:rsidP="005F6BCC">
            <w:pPr>
              <w:spacing w:after="0" w:line="240" w:lineRule="auto"/>
              <w:ind w:firstLineChars="100" w:firstLine="200"/>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T</w:t>
            </w:r>
            <w:r w:rsidRPr="005F6BCC">
              <w:rPr>
                <w:rFonts w:asciiTheme="minorHAnsi" w:eastAsia="Times New Roman" w:hAnsiTheme="minorHAnsi" w:cstheme="minorHAnsi"/>
                <w:sz w:val="20"/>
                <w:szCs w:val="20"/>
                <w:lang w:val="sq-AL"/>
              </w:rPr>
              <w:t xml:space="preserve">rošak </w:t>
            </w:r>
            <w:r>
              <w:rPr>
                <w:rFonts w:asciiTheme="minorHAnsi" w:eastAsia="Times New Roman" w:hAnsiTheme="minorHAnsi" w:cstheme="minorHAnsi"/>
                <w:sz w:val="20"/>
                <w:szCs w:val="20"/>
                <w:lang w:val="sq-AL"/>
              </w:rPr>
              <w:t>teku</w:t>
            </w:r>
            <w:r>
              <w:rPr>
                <w:rFonts w:eastAsia="Times New Roman" w:cs="Calibri"/>
                <w:sz w:val="20"/>
                <w:szCs w:val="20"/>
                <w:lang w:val="sq-AL"/>
              </w:rPr>
              <w:t>ć</w:t>
            </w:r>
            <w:r>
              <w:rPr>
                <w:rFonts w:asciiTheme="minorHAnsi" w:eastAsia="Times New Roman" w:hAnsiTheme="minorHAnsi" w:cstheme="minorHAnsi"/>
                <w:sz w:val="20"/>
                <w:szCs w:val="20"/>
                <w:lang w:val="sq-AL"/>
              </w:rPr>
              <w:t xml:space="preserve">eh </w:t>
            </w:r>
            <w:r w:rsidRPr="005F6BCC">
              <w:rPr>
                <w:rFonts w:asciiTheme="minorHAnsi" w:eastAsia="Times New Roman" w:hAnsiTheme="minorHAnsi" w:cstheme="minorHAnsi"/>
                <w:sz w:val="20"/>
                <w:szCs w:val="20"/>
                <w:lang w:val="sq-AL"/>
              </w:rPr>
              <w:t xml:space="preserve">gubitaka </w:t>
            </w:r>
          </w:p>
        </w:tc>
        <w:tc>
          <w:tcPr>
            <w:tcW w:w="917" w:type="dxa"/>
            <w:tcBorders>
              <w:top w:val="nil"/>
              <w:left w:val="single" w:sz="4" w:space="0" w:color="auto"/>
              <w:bottom w:val="single" w:sz="4" w:space="0" w:color="auto"/>
              <w:right w:val="single" w:sz="4" w:space="0" w:color="auto"/>
            </w:tcBorders>
          </w:tcPr>
          <w:p w14:paraId="47CB1406" w14:textId="470E9A91"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159778AE" w14:textId="679B319C"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42.91</w:t>
            </w:r>
          </w:p>
        </w:tc>
        <w:tc>
          <w:tcPr>
            <w:tcW w:w="932" w:type="dxa"/>
            <w:tcBorders>
              <w:top w:val="nil"/>
              <w:left w:val="nil"/>
              <w:bottom w:val="single" w:sz="4" w:space="0" w:color="auto"/>
              <w:right w:val="single" w:sz="4" w:space="0" w:color="auto"/>
            </w:tcBorders>
            <w:shd w:val="clear" w:color="auto" w:fill="auto"/>
            <w:vAlign w:val="center"/>
          </w:tcPr>
          <w:p w14:paraId="6EFD69ED" w14:textId="77777777"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41.58</w:t>
            </w:r>
          </w:p>
        </w:tc>
        <w:tc>
          <w:tcPr>
            <w:tcW w:w="1049" w:type="dxa"/>
            <w:tcBorders>
              <w:top w:val="nil"/>
              <w:left w:val="nil"/>
              <w:bottom w:val="single" w:sz="4" w:space="0" w:color="auto"/>
              <w:right w:val="single" w:sz="4" w:space="0" w:color="auto"/>
            </w:tcBorders>
            <w:shd w:val="clear" w:color="auto" w:fill="auto"/>
            <w:vAlign w:val="center"/>
          </w:tcPr>
          <w:p w14:paraId="0AD58FB7" w14:textId="77777777"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p>
        </w:tc>
      </w:tr>
      <w:tr w:rsidR="004375B5" w:rsidRPr="00765B5D" w14:paraId="68EA8522"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04570690" w14:textId="518CB354" w:rsidR="004375B5" w:rsidRPr="00765B5D" w:rsidRDefault="005F6BCC" w:rsidP="00644781">
            <w:pPr>
              <w:spacing w:after="0" w:line="240" w:lineRule="auto"/>
              <w:rPr>
                <w:rFonts w:asciiTheme="minorHAnsi" w:eastAsia="Times New Roman" w:hAnsiTheme="minorHAnsi" w:cstheme="minorHAnsi"/>
                <w:b/>
                <w:bCs/>
                <w:sz w:val="20"/>
                <w:szCs w:val="20"/>
                <w:lang w:val="sq-AL"/>
              </w:rPr>
            </w:pPr>
            <w:r w:rsidRPr="005F6BCC">
              <w:rPr>
                <w:rFonts w:asciiTheme="minorHAnsi" w:eastAsia="Times New Roman" w:hAnsiTheme="minorHAnsi" w:cstheme="minorHAnsi"/>
                <w:b/>
                <w:bCs/>
                <w:sz w:val="20"/>
                <w:szCs w:val="20"/>
                <w:lang w:val="sq-AL"/>
              </w:rPr>
              <w:t>Prilagođavanja</w:t>
            </w:r>
          </w:p>
        </w:tc>
        <w:tc>
          <w:tcPr>
            <w:tcW w:w="917" w:type="dxa"/>
            <w:tcBorders>
              <w:top w:val="nil"/>
              <w:left w:val="nil"/>
              <w:bottom w:val="nil"/>
              <w:right w:val="nil"/>
            </w:tcBorders>
            <w:shd w:val="clear" w:color="auto" w:fill="B8CCE4" w:themeFill="accent1" w:themeFillTint="66"/>
          </w:tcPr>
          <w:p w14:paraId="32753D7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B8CCE4" w:themeFill="accent1" w:themeFillTint="66"/>
            <w:noWrap/>
            <w:vAlign w:val="center"/>
          </w:tcPr>
          <w:p w14:paraId="19A3805B" w14:textId="54CC08AA"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tcPr>
          <w:p w14:paraId="307FE5D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tcPr>
          <w:p w14:paraId="35A07D0F"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4D9EDA08" w14:textId="77777777" w:rsidTr="00D14FA8">
        <w:trPr>
          <w:trHeight w:val="236"/>
        </w:trPr>
        <w:tc>
          <w:tcPr>
            <w:tcW w:w="5445" w:type="dxa"/>
            <w:tcBorders>
              <w:top w:val="nil"/>
              <w:left w:val="nil"/>
              <w:bottom w:val="nil"/>
              <w:right w:val="nil"/>
            </w:tcBorders>
            <w:shd w:val="clear" w:color="auto" w:fill="auto"/>
            <w:noWrap/>
            <w:vAlign w:val="center"/>
            <w:hideMark/>
          </w:tcPr>
          <w:p w14:paraId="08025DA5" w14:textId="4448ADEA" w:rsidR="004375B5" w:rsidRPr="00765B5D" w:rsidRDefault="00D031FD" w:rsidP="004375B5">
            <w:pPr>
              <w:spacing w:after="0" w:line="240" w:lineRule="auto"/>
              <w:rPr>
                <w:rFonts w:asciiTheme="minorHAnsi" w:eastAsia="Times New Roman" w:hAnsiTheme="minorHAnsi" w:cstheme="minorHAnsi"/>
                <w:color w:val="000000"/>
                <w:sz w:val="20"/>
                <w:szCs w:val="20"/>
                <w:lang w:val="sq-AL"/>
              </w:rPr>
            </w:pPr>
            <w:r w:rsidRPr="00D031FD">
              <w:rPr>
                <w:rFonts w:asciiTheme="minorHAnsi" w:eastAsia="Times New Roman" w:hAnsiTheme="minorHAnsi" w:cstheme="minorHAnsi"/>
                <w:color w:val="000000"/>
                <w:sz w:val="20"/>
                <w:szCs w:val="20"/>
                <w:lang w:val="sq-AL"/>
              </w:rPr>
              <w:t xml:space="preserve">Neregulisani prihodi </w:t>
            </w:r>
            <w:r w:rsidR="004375B5" w:rsidRPr="00765B5D">
              <w:rPr>
                <w:rFonts w:asciiTheme="minorHAnsi" w:eastAsia="Times New Roman" w:hAnsiTheme="minorHAnsi" w:cstheme="minorHAnsi"/>
                <w:color w:val="000000"/>
                <w:sz w:val="20"/>
                <w:szCs w:val="20"/>
                <w:lang w:val="sq-AL"/>
              </w:rPr>
              <w:t>PRR2</w:t>
            </w:r>
          </w:p>
        </w:tc>
        <w:tc>
          <w:tcPr>
            <w:tcW w:w="917" w:type="dxa"/>
            <w:tcBorders>
              <w:top w:val="single" w:sz="4" w:space="0" w:color="auto"/>
              <w:left w:val="single" w:sz="4" w:space="0" w:color="auto"/>
              <w:bottom w:val="single" w:sz="4" w:space="0" w:color="auto"/>
              <w:right w:val="single" w:sz="4" w:space="0" w:color="auto"/>
            </w:tcBorders>
          </w:tcPr>
          <w:p w14:paraId="39E7A445" w14:textId="403659C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DCF32D2" w14:textId="56C40B0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(3.50)</w:t>
            </w:r>
          </w:p>
        </w:tc>
        <w:tc>
          <w:tcPr>
            <w:tcW w:w="932" w:type="dxa"/>
            <w:tcBorders>
              <w:top w:val="single" w:sz="4" w:space="0" w:color="auto"/>
              <w:left w:val="nil"/>
              <w:bottom w:val="single" w:sz="4" w:space="0" w:color="auto"/>
              <w:right w:val="single" w:sz="4" w:space="0" w:color="auto"/>
            </w:tcBorders>
            <w:shd w:val="clear" w:color="auto" w:fill="auto"/>
            <w:vAlign w:val="center"/>
          </w:tcPr>
          <w:p w14:paraId="70DD7EBF" w14:textId="13FB0030"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(3.50)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7C546B21"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(3.50)</w:t>
            </w:r>
          </w:p>
        </w:tc>
      </w:tr>
      <w:tr w:rsidR="004375B5" w:rsidRPr="00765B5D" w14:paraId="611549B2" w14:textId="77777777" w:rsidTr="00D14FA8">
        <w:trPr>
          <w:trHeight w:val="236"/>
        </w:trPr>
        <w:tc>
          <w:tcPr>
            <w:tcW w:w="5445" w:type="dxa"/>
            <w:tcBorders>
              <w:top w:val="nil"/>
              <w:left w:val="nil"/>
              <w:bottom w:val="nil"/>
              <w:right w:val="nil"/>
            </w:tcBorders>
            <w:shd w:val="clear" w:color="auto" w:fill="auto"/>
            <w:noWrap/>
            <w:vAlign w:val="center"/>
            <w:hideMark/>
          </w:tcPr>
          <w:p w14:paraId="621F4749" w14:textId="4477202C" w:rsidR="004375B5" w:rsidRPr="00765B5D" w:rsidRDefault="00D031FD" w:rsidP="004375B5">
            <w:pPr>
              <w:spacing w:after="0" w:line="240" w:lineRule="auto"/>
              <w:rPr>
                <w:rFonts w:asciiTheme="minorHAnsi" w:eastAsia="Times New Roman" w:hAnsiTheme="minorHAnsi" w:cstheme="minorHAnsi"/>
                <w:color w:val="000000"/>
                <w:sz w:val="20"/>
                <w:szCs w:val="20"/>
                <w:lang w:val="sq-AL"/>
              </w:rPr>
            </w:pPr>
            <w:r w:rsidRPr="00D031FD">
              <w:rPr>
                <w:rFonts w:asciiTheme="minorHAnsi" w:eastAsia="Times New Roman" w:hAnsiTheme="minorHAnsi" w:cstheme="minorHAnsi"/>
                <w:color w:val="000000"/>
                <w:sz w:val="20"/>
                <w:szCs w:val="20"/>
                <w:lang w:val="sq-AL"/>
              </w:rPr>
              <w:t xml:space="preserve">Prilagođavanja za </w:t>
            </w:r>
            <w:r w:rsidR="004375B5" w:rsidRPr="00765B5D">
              <w:rPr>
                <w:rFonts w:asciiTheme="minorHAnsi" w:eastAsia="Times New Roman" w:hAnsiTheme="minorHAnsi" w:cstheme="minorHAnsi"/>
                <w:color w:val="000000"/>
                <w:sz w:val="20"/>
                <w:szCs w:val="20"/>
                <w:lang w:val="sq-AL"/>
              </w:rPr>
              <w:t>PRR1</w:t>
            </w:r>
          </w:p>
        </w:tc>
        <w:tc>
          <w:tcPr>
            <w:tcW w:w="917" w:type="dxa"/>
            <w:tcBorders>
              <w:top w:val="single" w:sz="4" w:space="0" w:color="auto"/>
              <w:left w:val="single" w:sz="4" w:space="0" w:color="auto"/>
              <w:bottom w:val="single" w:sz="4" w:space="0" w:color="auto"/>
              <w:right w:val="single" w:sz="4" w:space="0" w:color="auto"/>
            </w:tcBorders>
          </w:tcPr>
          <w:p w14:paraId="3A598DD5" w14:textId="001EA9EB"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FEA850" w14:textId="0695C2A9"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(1.50)</w:t>
            </w:r>
          </w:p>
        </w:tc>
        <w:tc>
          <w:tcPr>
            <w:tcW w:w="932" w:type="dxa"/>
            <w:tcBorders>
              <w:top w:val="single" w:sz="4" w:space="0" w:color="auto"/>
              <w:left w:val="nil"/>
              <w:bottom w:val="single" w:sz="4" w:space="0" w:color="auto"/>
              <w:right w:val="single" w:sz="4" w:space="0" w:color="auto"/>
            </w:tcBorders>
            <w:shd w:val="clear" w:color="auto" w:fill="auto"/>
            <w:vAlign w:val="center"/>
          </w:tcPr>
          <w:p w14:paraId="188BFB61" w14:textId="66E1395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D376472"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(1.50)</w:t>
            </w:r>
          </w:p>
        </w:tc>
      </w:tr>
      <w:tr w:rsidR="004375B5" w:rsidRPr="00765B5D" w14:paraId="64F76E35"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8B91B2B" w14:textId="7DD4198B" w:rsidR="004375B5" w:rsidRPr="00765B5D" w:rsidRDefault="00D031FD" w:rsidP="004375B5">
            <w:pPr>
              <w:spacing w:after="0" w:line="240" w:lineRule="auto"/>
              <w:ind w:firstLineChars="100" w:firstLine="200"/>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Pril</w:t>
            </w:r>
            <w:r w:rsidRPr="00D031FD">
              <w:rPr>
                <w:rFonts w:asciiTheme="minorHAnsi" w:eastAsia="Times New Roman" w:hAnsiTheme="minorHAnsi" w:cstheme="minorHAnsi"/>
                <w:sz w:val="20"/>
                <w:szCs w:val="20"/>
                <w:lang w:val="sq-AL"/>
              </w:rPr>
              <w:t>a</w:t>
            </w:r>
            <w:r>
              <w:rPr>
                <w:rFonts w:asciiTheme="minorHAnsi" w:eastAsia="Times New Roman" w:hAnsiTheme="minorHAnsi" w:cstheme="minorHAnsi"/>
                <w:sz w:val="20"/>
                <w:szCs w:val="20"/>
                <w:lang w:val="sq-AL"/>
              </w:rPr>
              <w:t>gođa</w:t>
            </w:r>
            <w:r w:rsidRPr="00D031FD">
              <w:rPr>
                <w:rFonts w:asciiTheme="minorHAnsi" w:eastAsia="Times New Roman" w:hAnsiTheme="minorHAnsi" w:cstheme="minorHAnsi"/>
                <w:sz w:val="20"/>
                <w:szCs w:val="20"/>
                <w:lang w:val="sq-AL"/>
              </w:rPr>
              <w:t>vanje cene gubitaka</w:t>
            </w:r>
            <w:r w:rsidR="004375B5" w:rsidRPr="00765B5D">
              <w:rPr>
                <w:rFonts w:asciiTheme="minorHAnsi" w:eastAsia="Times New Roman" w:hAnsiTheme="minorHAnsi" w:cstheme="minorHAnsi"/>
                <w:sz w:val="20"/>
                <w:szCs w:val="20"/>
                <w:lang w:val="sq-AL"/>
              </w:rPr>
              <w:t xml:space="preserve"> </w:t>
            </w:r>
          </w:p>
        </w:tc>
        <w:tc>
          <w:tcPr>
            <w:tcW w:w="917" w:type="dxa"/>
            <w:tcBorders>
              <w:top w:val="single" w:sz="4" w:space="0" w:color="auto"/>
              <w:left w:val="single" w:sz="4" w:space="0" w:color="auto"/>
              <w:bottom w:val="single" w:sz="4" w:space="0" w:color="auto"/>
              <w:right w:val="single" w:sz="4" w:space="0" w:color="auto"/>
            </w:tcBorders>
          </w:tcPr>
          <w:p w14:paraId="4135EE0C" w14:textId="33695D8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noWrap/>
            <w:vAlign w:val="center"/>
          </w:tcPr>
          <w:p w14:paraId="4053EA82" w14:textId="18A30650"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( 2.48)</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E58454E" w14:textId="46DBA233"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6C02A5">
              <w:rPr>
                <w:rFonts w:asciiTheme="minorHAnsi" w:eastAsia="Times New Roman" w:hAnsiTheme="minorHAnsi" w:cstheme="minorHAnsi"/>
                <w:sz w:val="20"/>
                <w:szCs w:val="20"/>
                <w:lang w:val="sq-AL"/>
              </w:rPr>
              <w:t>-</w:t>
            </w:r>
          </w:p>
        </w:tc>
        <w:tc>
          <w:tcPr>
            <w:tcW w:w="1049" w:type="dxa"/>
            <w:tcBorders>
              <w:top w:val="nil"/>
              <w:left w:val="nil"/>
              <w:bottom w:val="single" w:sz="4" w:space="0" w:color="auto"/>
              <w:right w:val="single" w:sz="4" w:space="0" w:color="auto"/>
            </w:tcBorders>
            <w:shd w:val="clear" w:color="auto" w:fill="auto"/>
            <w:noWrap/>
            <w:vAlign w:val="center"/>
          </w:tcPr>
          <w:p w14:paraId="4B67B77F"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39E3353B"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34BD6C0" w14:textId="290B823C" w:rsidR="004375B5" w:rsidRPr="00765B5D" w:rsidRDefault="00D031FD" w:rsidP="004375B5">
            <w:pPr>
              <w:spacing w:after="0" w:line="240" w:lineRule="auto"/>
              <w:ind w:firstLineChars="100" w:firstLine="200"/>
              <w:rPr>
                <w:rFonts w:asciiTheme="minorHAnsi" w:eastAsia="Times New Roman" w:hAnsiTheme="minorHAnsi" w:cstheme="minorHAnsi"/>
                <w:sz w:val="20"/>
                <w:szCs w:val="20"/>
                <w:lang w:val="sq-AL"/>
              </w:rPr>
            </w:pPr>
            <w:r w:rsidRPr="00D031FD">
              <w:rPr>
                <w:rFonts w:asciiTheme="minorHAnsi" w:eastAsia="Times New Roman" w:hAnsiTheme="minorHAnsi" w:cstheme="minorHAnsi"/>
                <w:sz w:val="20"/>
                <w:szCs w:val="20"/>
                <w:lang w:val="sq-AL"/>
              </w:rPr>
              <w:t>Korekcija neravnoteža</w:t>
            </w:r>
            <w:r w:rsidR="004375B5" w:rsidRPr="00765B5D">
              <w:rPr>
                <w:rFonts w:asciiTheme="minorHAnsi" w:eastAsia="Times New Roman" w:hAnsiTheme="minorHAnsi" w:cstheme="minorHAnsi"/>
                <w:sz w:val="20"/>
                <w:szCs w:val="20"/>
                <w:lang w:val="sq-AL"/>
              </w:rPr>
              <w:t xml:space="preserve"> </w:t>
            </w:r>
          </w:p>
        </w:tc>
        <w:tc>
          <w:tcPr>
            <w:tcW w:w="917" w:type="dxa"/>
            <w:tcBorders>
              <w:top w:val="single" w:sz="4" w:space="0" w:color="auto"/>
              <w:left w:val="single" w:sz="4" w:space="0" w:color="auto"/>
              <w:bottom w:val="single" w:sz="4" w:space="0" w:color="auto"/>
              <w:right w:val="single" w:sz="4" w:space="0" w:color="auto"/>
            </w:tcBorders>
          </w:tcPr>
          <w:p w14:paraId="3451C898" w14:textId="6C3711D6"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noWrap/>
            <w:vAlign w:val="center"/>
          </w:tcPr>
          <w:p w14:paraId="0F7A4205" w14:textId="4CFA2B09"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1.74</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0436B1F" w14:textId="221F0D6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6C02A5">
              <w:rPr>
                <w:rFonts w:asciiTheme="minorHAnsi" w:eastAsia="Times New Roman" w:hAnsiTheme="minorHAnsi" w:cstheme="minorHAnsi"/>
                <w:sz w:val="20"/>
                <w:szCs w:val="20"/>
                <w:lang w:val="sq-AL"/>
              </w:rPr>
              <w:t>-</w:t>
            </w:r>
          </w:p>
        </w:tc>
        <w:tc>
          <w:tcPr>
            <w:tcW w:w="1049" w:type="dxa"/>
            <w:tcBorders>
              <w:top w:val="nil"/>
              <w:left w:val="nil"/>
              <w:bottom w:val="single" w:sz="4" w:space="0" w:color="auto"/>
              <w:right w:val="single" w:sz="4" w:space="0" w:color="auto"/>
            </w:tcBorders>
            <w:shd w:val="clear" w:color="auto" w:fill="auto"/>
            <w:noWrap/>
            <w:vAlign w:val="center"/>
          </w:tcPr>
          <w:p w14:paraId="157162AD"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FCE2235" w14:textId="77777777" w:rsidTr="00D14FA8">
        <w:trPr>
          <w:trHeight w:val="236"/>
        </w:trPr>
        <w:tc>
          <w:tcPr>
            <w:tcW w:w="5445" w:type="dxa"/>
            <w:tcBorders>
              <w:top w:val="nil"/>
              <w:left w:val="nil"/>
              <w:bottom w:val="nil"/>
              <w:right w:val="nil"/>
            </w:tcBorders>
            <w:shd w:val="clear" w:color="auto" w:fill="auto"/>
            <w:noWrap/>
            <w:vAlign w:val="center"/>
            <w:hideMark/>
          </w:tcPr>
          <w:p w14:paraId="5C7DDC9E" w14:textId="2650DB14" w:rsidR="004375B5" w:rsidRPr="00765B5D" w:rsidRDefault="00D031FD" w:rsidP="004375B5">
            <w:pPr>
              <w:spacing w:after="0" w:line="240" w:lineRule="auto"/>
              <w:rPr>
                <w:rFonts w:asciiTheme="minorHAnsi" w:eastAsia="Times New Roman" w:hAnsiTheme="minorHAnsi" w:cstheme="minorHAnsi"/>
                <w:color w:val="000000"/>
                <w:sz w:val="20"/>
                <w:szCs w:val="20"/>
                <w:lang w:val="sq-AL"/>
              </w:rPr>
            </w:pPr>
            <w:r w:rsidRPr="00D031FD">
              <w:rPr>
                <w:rFonts w:asciiTheme="minorHAnsi" w:eastAsia="Times New Roman" w:hAnsiTheme="minorHAnsi" w:cstheme="minorHAnsi"/>
                <w:color w:val="000000"/>
                <w:sz w:val="20"/>
                <w:szCs w:val="20"/>
                <w:lang w:val="sq-AL"/>
              </w:rPr>
              <w:t>Neregulisani tekući prihodi</w:t>
            </w:r>
          </w:p>
        </w:tc>
        <w:tc>
          <w:tcPr>
            <w:tcW w:w="917" w:type="dxa"/>
            <w:tcBorders>
              <w:top w:val="single" w:sz="4" w:space="0" w:color="auto"/>
              <w:left w:val="single" w:sz="4" w:space="0" w:color="auto"/>
              <w:bottom w:val="single" w:sz="4" w:space="0" w:color="auto"/>
              <w:right w:val="single" w:sz="4" w:space="0" w:color="auto"/>
            </w:tcBorders>
          </w:tcPr>
          <w:p w14:paraId="6C26A8BE" w14:textId="17B433A2"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57E7A" w14:textId="40893E45"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(6.84)</w:t>
            </w:r>
          </w:p>
        </w:tc>
        <w:tc>
          <w:tcPr>
            <w:tcW w:w="932" w:type="dxa"/>
            <w:tcBorders>
              <w:top w:val="nil"/>
              <w:left w:val="nil"/>
              <w:bottom w:val="single" w:sz="4" w:space="0" w:color="auto"/>
              <w:right w:val="single" w:sz="4" w:space="0" w:color="auto"/>
            </w:tcBorders>
            <w:shd w:val="clear" w:color="auto" w:fill="auto"/>
            <w:noWrap/>
            <w:vAlign w:val="center"/>
          </w:tcPr>
          <w:p w14:paraId="1351E970" w14:textId="01B0437A"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(6.61)</w:t>
            </w:r>
          </w:p>
        </w:tc>
        <w:tc>
          <w:tcPr>
            <w:tcW w:w="1049" w:type="dxa"/>
            <w:tcBorders>
              <w:top w:val="nil"/>
              <w:left w:val="nil"/>
              <w:bottom w:val="single" w:sz="4" w:space="0" w:color="auto"/>
              <w:right w:val="single" w:sz="4" w:space="0" w:color="auto"/>
            </w:tcBorders>
            <w:shd w:val="clear" w:color="auto" w:fill="auto"/>
            <w:noWrap/>
            <w:vAlign w:val="center"/>
          </w:tcPr>
          <w:p w14:paraId="48751C5E"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57D75B76" w14:textId="77777777" w:rsidTr="00D14FA8">
        <w:trPr>
          <w:trHeight w:val="236"/>
        </w:trPr>
        <w:tc>
          <w:tcPr>
            <w:tcW w:w="5445" w:type="dxa"/>
            <w:tcBorders>
              <w:top w:val="nil"/>
              <w:left w:val="nil"/>
              <w:bottom w:val="nil"/>
              <w:right w:val="nil"/>
            </w:tcBorders>
            <w:shd w:val="clear" w:color="auto" w:fill="auto"/>
            <w:noWrap/>
            <w:vAlign w:val="center"/>
            <w:hideMark/>
          </w:tcPr>
          <w:p w14:paraId="32031FD9" w14:textId="27DE2608" w:rsidR="004375B5" w:rsidRPr="00765B5D" w:rsidRDefault="00D031FD" w:rsidP="00AD5C8C">
            <w:pPr>
              <w:spacing w:after="0" w:line="240" w:lineRule="auto"/>
              <w:rPr>
                <w:rFonts w:asciiTheme="minorHAnsi" w:eastAsia="Times New Roman" w:hAnsiTheme="minorHAnsi" w:cstheme="minorHAnsi"/>
                <w:color w:val="000000"/>
                <w:sz w:val="20"/>
                <w:szCs w:val="20"/>
                <w:lang w:val="sq-AL"/>
              </w:rPr>
            </w:pPr>
            <w:r w:rsidRPr="00D031FD">
              <w:rPr>
                <w:rFonts w:asciiTheme="minorHAnsi" w:eastAsia="Times New Roman" w:hAnsiTheme="minorHAnsi" w:cstheme="minorHAnsi"/>
                <w:color w:val="000000"/>
                <w:sz w:val="20"/>
                <w:szCs w:val="20"/>
                <w:lang w:val="sq-AL"/>
              </w:rPr>
              <w:t>Naknada za dozvolu</w:t>
            </w:r>
            <w:r w:rsidR="004375B5" w:rsidRPr="00765B5D">
              <w:rPr>
                <w:rFonts w:asciiTheme="minorHAnsi" w:eastAsia="Times New Roman" w:hAnsiTheme="minorHAnsi" w:cstheme="minorHAnsi"/>
                <w:color w:val="000000"/>
                <w:sz w:val="20"/>
                <w:szCs w:val="20"/>
                <w:lang w:val="sq-AL"/>
              </w:rPr>
              <w:t>:</w:t>
            </w:r>
          </w:p>
        </w:tc>
        <w:tc>
          <w:tcPr>
            <w:tcW w:w="917" w:type="dxa"/>
            <w:tcBorders>
              <w:top w:val="nil"/>
              <w:left w:val="nil"/>
              <w:bottom w:val="nil"/>
              <w:right w:val="nil"/>
            </w:tcBorders>
          </w:tcPr>
          <w:p w14:paraId="6A5F43C4"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852" w:type="dxa"/>
            <w:tcBorders>
              <w:top w:val="nil"/>
              <w:left w:val="nil"/>
              <w:bottom w:val="nil"/>
              <w:right w:val="nil"/>
            </w:tcBorders>
            <w:shd w:val="clear" w:color="auto" w:fill="auto"/>
            <w:noWrap/>
            <w:vAlign w:val="center"/>
          </w:tcPr>
          <w:p w14:paraId="3CE9A472" w14:textId="22246C66"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A56705E"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1049" w:type="dxa"/>
            <w:tcBorders>
              <w:top w:val="nil"/>
              <w:left w:val="nil"/>
              <w:bottom w:val="single" w:sz="4" w:space="0" w:color="auto"/>
              <w:right w:val="single" w:sz="4" w:space="0" w:color="auto"/>
            </w:tcBorders>
            <w:shd w:val="clear" w:color="auto" w:fill="auto"/>
            <w:noWrap/>
            <w:vAlign w:val="center"/>
          </w:tcPr>
          <w:p w14:paraId="1121C6E1"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r>
      <w:tr w:rsidR="004375B5" w:rsidRPr="00765B5D" w14:paraId="59E23201" w14:textId="77777777" w:rsidTr="00D14FA8">
        <w:trPr>
          <w:trHeight w:val="236"/>
        </w:trPr>
        <w:tc>
          <w:tcPr>
            <w:tcW w:w="5445" w:type="dxa"/>
            <w:tcBorders>
              <w:top w:val="nil"/>
              <w:left w:val="nil"/>
              <w:bottom w:val="nil"/>
              <w:right w:val="nil"/>
            </w:tcBorders>
            <w:shd w:val="clear" w:color="auto" w:fill="auto"/>
            <w:noWrap/>
            <w:vAlign w:val="center"/>
            <w:hideMark/>
          </w:tcPr>
          <w:p w14:paraId="7BDCA0C5" w14:textId="41D09840" w:rsidR="004375B5" w:rsidRPr="00765B5D" w:rsidRDefault="00D031FD" w:rsidP="00AD5C8C">
            <w:pPr>
              <w:spacing w:after="0" w:line="240" w:lineRule="auto"/>
              <w:ind w:firstLineChars="100" w:firstLine="200"/>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Prilago</w:t>
            </w:r>
            <w:r>
              <w:rPr>
                <w:rFonts w:eastAsia="Times New Roman" w:cs="Calibri"/>
                <w:color w:val="000000"/>
                <w:sz w:val="20"/>
                <w:szCs w:val="20"/>
                <w:lang w:val="sq-AL"/>
              </w:rPr>
              <w:t>đ</w:t>
            </w:r>
            <w:r>
              <w:rPr>
                <w:rFonts w:asciiTheme="minorHAnsi" w:eastAsia="Times New Roman" w:hAnsiTheme="minorHAnsi" w:cstheme="minorHAnsi"/>
                <w:color w:val="000000"/>
                <w:sz w:val="20"/>
                <w:szCs w:val="20"/>
                <w:lang w:val="sq-AL"/>
              </w:rPr>
              <w:t>avnja</w:t>
            </w:r>
          </w:p>
        </w:tc>
        <w:tc>
          <w:tcPr>
            <w:tcW w:w="917" w:type="dxa"/>
            <w:tcBorders>
              <w:top w:val="nil"/>
              <w:left w:val="nil"/>
              <w:bottom w:val="nil"/>
              <w:right w:val="nil"/>
            </w:tcBorders>
          </w:tcPr>
          <w:p w14:paraId="1A0E6342" w14:textId="1663F35B"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960892">
              <w:rPr>
                <w:rFonts w:cstheme="minorHAnsi"/>
              </w:rPr>
              <w:t>€m</w:t>
            </w:r>
          </w:p>
        </w:tc>
        <w:tc>
          <w:tcPr>
            <w:tcW w:w="852" w:type="dxa"/>
            <w:tcBorders>
              <w:top w:val="nil"/>
              <w:left w:val="nil"/>
              <w:bottom w:val="nil"/>
              <w:right w:val="nil"/>
            </w:tcBorders>
            <w:shd w:val="clear" w:color="auto" w:fill="auto"/>
            <w:noWrap/>
            <w:vAlign w:val="center"/>
          </w:tcPr>
          <w:p w14:paraId="5A109CC7" w14:textId="63B7B7AD"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p>
        </w:tc>
        <w:tc>
          <w:tcPr>
            <w:tcW w:w="932" w:type="dxa"/>
            <w:tcBorders>
              <w:top w:val="nil"/>
              <w:left w:val="single" w:sz="4" w:space="0" w:color="auto"/>
              <w:bottom w:val="single" w:sz="4" w:space="0" w:color="auto"/>
              <w:right w:val="single" w:sz="4" w:space="0" w:color="auto"/>
            </w:tcBorders>
            <w:shd w:val="clear" w:color="auto" w:fill="auto"/>
            <w:vAlign w:val="center"/>
          </w:tcPr>
          <w:p w14:paraId="4A5B57D5" w14:textId="7C425995"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0.15</w:t>
            </w:r>
          </w:p>
        </w:tc>
        <w:tc>
          <w:tcPr>
            <w:tcW w:w="1049" w:type="dxa"/>
            <w:tcBorders>
              <w:top w:val="nil"/>
              <w:left w:val="nil"/>
              <w:bottom w:val="single" w:sz="4" w:space="0" w:color="auto"/>
              <w:right w:val="single" w:sz="4" w:space="0" w:color="auto"/>
            </w:tcBorders>
            <w:shd w:val="clear" w:color="auto" w:fill="auto"/>
            <w:vAlign w:val="center"/>
          </w:tcPr>
          <w:p w14:paraId="2D45628B" w14:textId="77777777"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0.08</w:t>
            </w:r>
          </w:p>
        </w:tc>
      </w:tr>
      <w:tr w:rsidR="004375B5" w:rsidRPr="00765B5D" w14:paraId="7A623280" w14:textId="77777777" w:rsidTr="00D14FA8">
        <w:trPr>
          <w:trHeight w:val="236"/>
        </w:trPr>
        <w:tc>
          <w:tcPr>
            <w:tcW w:w="5445" w:type="dxa"/>
            <w:tcBorders>
              <w:top w:val="nil"/>
              <w:left w:val="nil"/>
              <w:bottom w:val="nil"/>
              <w:right w:val="nil"/>
            </w:tcBorders>
            <w:shd w:val="clear" w:color="auto" w:fill="auto"/>
            <w:noWrap/>
            <w:vAlign w:val="center"/>
            <w:hideMark/>
          </w:tcPr>
          <w:p w14:paraId="55A54374" w14:textId="04030950" w:rsidR="004375B5" w:rsidRPr="00765B5D" w:rsidRDefault="00D031FD" w:rsidP="00AD5C8C">
            <w:pPr>
              <w:spacing w:after="0" w:line="240" w:lineRule="auto"/>
              <w:ind w:firstLineChars="100" w:firstLine="200"/>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Teku</w:t>
            </w:r>
            <w:r>
              <w:rPr>
                <w:rFonts w:eastAsia="Times New Roman" w:cs="Calibri"/>
                <w:color w:val="000000"/>
                <w:sz w:val="20"/>
                <w:szCs w:val="20"/>
                <w:lang w:val="sq-AL"/>
              </w:rPr>
              <w:t>ć</w:t>
            </w:r>
            <w:r>
              <w:rPr>
                <w:rFonts w:asciiTheme="minorHAnsi" w:eastAsia="Times New Roman" w:hAnsiTheme="minorHAnsi" w:cstheme="minorHAnsi"/>
                <w:color w:val="000000"/>
                <w:sz w:val="20"/>
                <w:szCs w:val="20"/>
                <w:lang w:val="sq-AL"/>
              </w:rPr>
              <w:t>e</w:t>
            </w:r>
          </w:p>
        </w:tc>
        <w:tc>
          <w:tcPr>
            <w:tcW w:w="917" w:type="dxa"/>
            <w:tcBorders>
              <w:top w:val="single" w:sz="4" w:space="0" w:color="auto"/>
              <w:left w:val="single" w:sz="4" w:space="0" w:color="auto"/>
              <w:bottom w:val="single" w:sz="4" w:space="0" w:color="auto"/>
              <w:right w:val="single" w:sz="4" w:space="0" w:color="auto"/>
            </w:tcBorders>
          </w:tcPr>
          <w:p w14:paraId="3F0E5F14" w14:textId="516B1486"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sidRPr="00960892">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92FB" w14:textId="350294AC"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0.07</w:t>
            </w:r>
          </w:p>
        </w:tc>
        <w:tc>
          <w:tcPr>
            <w:tcW w:w="932" w:type="dxa"/>
            <w:tcBorders>
              <w:top w:val="nil"/>
              <w:left w:val="nil"/>
              <w:bottom w:val="single" w:sz="4" w:space="0" w:color="auto"/>
              <w:right w:val="single" w:sz="4" w:space="0" w:color="auto"/>
            </w:tcBorders>
            <w:shd w:val="clear" w:color="auto" w:fill="auto"/>
            <w:noWrap/>
            <w:vAlign w:val="center"/>
          </w:tcPr>
          <w:p w14:paraId="302878DB" w14:textId="3880F5A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0.06</w:t>
            </w:r>
          </w:p>
        </w:tc>
        <w:tc>
          <w:tcPr>
            <w:tcW w:w="1049" w:type="dxa"/>
            <w:tcBorders>
              <w:top w:val="nil"/>
              <w:left w:val="nil"/>
              <w:bottom w:val="single" w:sz="4" w:space="0" w:color="auto"/>
              <w:right w:val="single" w:sz="4" w:space="0" w:color="auto"/>
            </w:tcBorders>
            <w:shd w:val="clear" w:color="auto" w:fill="auto"/>
            <w:noWrap/>
            <w:vAlign w:val="center"/>
          </w:tcPr>
          <w:p w14:paraId="1BB142F3"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r>
      <w:tr w:rsidR="004375B5" w:rsidRPr="00765B5D" w14:paraId="53B34C7B"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24384A9E" w14:textId="1E64E884"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 xml:space="preserve">KREV </w:t>
            </w:r>
            <w:r w:rsidR="00D031FD">
              <w:rPr>
                <w:rFonts w:asciiTheme="minorHAnsi" w:eastAsia="Times New Roman" w:hAnsiTheme="minorHAnsi" w:cstheme="minorHAnsi"/>
                <w:b/>
                <w:bCs/>
                <w:sz w:val="20"/>
                <w:szCs w:val="20"/>
                <w:lang w:val="sq-AL"/>
              </w:rPr>
              <w:t xml:space="preserve">– </w:t>
            </w:r>
            <w:r w:rsidR="00D031FD" w:rsidRPr="00D031FD">
              <w:rPr>
                <w:rFonts w:asciiTheme="minorHAnsi" w:eastAsia="Times New Roman" w:hAnsiTheme="minorHAnsi" w:cstheme="minorHAnsi"/>
                <w:b/>
                <w:bCs/>
                <w:sz w:val="20"/>
                <w:szCs w:val="20"/>
                <w:lang w:val="sq-AL"/>
              </w:rPr>
              <w:t>faktor korekcije prihoda</w:t>
            </w:r>
          </w:p>
        </w:tc>
        <w:tc>
          <w:tcPr>
            <w:tcW w:w="917" w:type="dxa"/>
            <w:tcBorders>
              <w:top w:val="nil"/>
              <w:left w:val="nil"/>
              <w:bottom w:val="single" w:sz="4" w:space="0" w:color="auto"/>
              <w:right w:val="nil"/>
            </w:tcBorders>
            <w:shd w:val="clear" w:color="auto" w:fill="B8CCE4" w:themeFill="accent1" w:themeFillTint="66"/>
          </w:tcPr>
          <w:p w14:paraId="49DEA4B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1E935B74" w14:textId="25625EE1"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single" w:sz="4" w:space="0" w:color="auto"/>
              <w:right w:val="nil"/>
            </w:tcBorders>
            <w:shd w:val="clear" w:color="auto" w:fill="B8CCE4" w:themeFill="accent1" w:themeFillTint="66"/>
            <w:noWrap/>
            <w:vAlign w:val="center"/>
          </w:tcPr>
          <w:p w14:paraId="162832A1"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single" w:sz="4" w:space="0" w:color="auto"/>
              <w:right w:val="nil"/>
            </w:tcBorders>
            <w:shd w:val="clear" w:color="auto" w:fill="B8CCE4" w:themeFill="accent1" w:themeFillTint="66"/>
            <w:noWrap/>
            <w:vAlign w:val="center"/>
          </w:tcPr>
          <w:p w14:paraId="1F2B1AE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7FFB40FC"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2089F89B" w14:textId="07D68285" w:rsidR="004375B5" w:rsidRPr="00765B5D" w:rsidRDefault="00D031FD" w:rsidP="004375B5">
            <w:pPr>
              <w:spacing w:after="0" w:line="240" w:lineRule="auto"/>
              <w:rPr>
                <w:rFonts w:asciiTheme="minorHAnsi" w:eastAsia="Times New Roman" w:hAnsiTheme="minorHAnsi" w:cstheme="minorHAnsi"/>
                <w:color w:val="000000"/>
                <w:sz w:val="20"/>
                <w:szCs w:val="20"/>
                <w:lang w:val="sq-AL"/>
              </w:rPr>
            </w:pPr>
            <w:r w:rsidRPr="00D031FD">
              <w:rPr>
                <w:rFonts w:asciiTheme="minorHAnsi" w:eastAsia="Times New Roman" w:hAnsiTheme="minorHAnsi" w:cstheme="minorHAnsi"/>
                <w:color w:val="000000"/>
                <w:sz w:val="20"/>
                <w:szCs w:val="20"/>
                <w:lang w:val="sq-AL"/>
              </w:rPr>
              <w:t xml:space="preserve">Faktor korekcije prihoda </w:t>
            </w:r>
            <w:r w:rsidR="004375B5" w:rsidRPr="00765B5D">
              <w:rPr>
                <w:rFonts w:asciiTheme="minorHAnsi" w:eastAsia="Times New Roman" w:hAnsiTheme="minorHAnsi" w:cstheme="minorHAnsi"/>
                <w:color w:val="000000"/>
                <w:sz w:val="20"/>
                <w:szCs w:val="20"/>
                <w:lang w:val="sq-AL"/>
              </w:rPr>
              <w:t>t-1</w:t>
            </w:r>
          </w:p>
        </w:tc>
        <w:tc>
          <w:tcPr>
            <w:tcW w:w="917" w:type="dxa"/>
            <w:tcBorders>
              <w:top w:val="single" w:sz="4" w:space="0" w:color="auto"/>
              <w:left w:val="single" w:sz="4" w:space="0" w:color="auto"/>
              <w:bottom w:val="single" w:sz="4" w:space="0" w:color="auto"/>
              <w:right w:val="single" w:sz="4" w:space="0" w:color="auto"/>
            </w:tcBorders>
          </w:tcPr>
          <w:p w14:paraId="1156B7A2" w14:textId="5C46A2F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17B1" w14:textId="7D611B06"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9.58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0C2C8" w14:textId="2FCF972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w:t>
            </w:r>
            <w:r w:rsidRPr="00765B5D">
              <w:rPr>
                <w:rFonts w:asciiTheme="minorHAnsi" w:eastAsia="Times New Roman" w:hAnsiTheme="minorHAnsi" w:cstheme="minorHAnsi"/>
                <w:sz w:val="20"/>
                <w:szCs w:val="20"/>
                <w:lang w:val="sq-AL"/>
              </w:rPr>
              <w:t>4.</w:t>
            </w:r>
            <w:r>
              <w:rPr>
                <w:rFonts w:asciiTheme="minorHAnsi" w:eastAsia="Times New Roman" w:hAnsiTheme="minorHAnsi" w:cstheme="minorHAnsi"/>
                <w:sz w:val="20"/>
                <w:szCs w:val="20"/>
                <w:lang w:val="sq-AL"/>
              </w:rPr>
              <w:t>14)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D588F" w14:textId="6AD3438E"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(14.49)</w:t>
            </w:r>
          </w:p>
        </w:tc>
      </w:tr>
      <w:tr w:rsidR="004375B5" w:rsidRPr="00765B5D" w14:paraId="0E1729ED"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64F8F7FC" w14:textId="05B1B030" w:rsidR="004375B5" w:rsidRPr="00765B5D" w:rsidRDefault="004375B5" w:rsidP="00D031FD">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 xml:space="preserve">AACt-1 </w:t>
            </w:r>
            <w:r w:rsidR="00D031FD">
              <w:rPr>
                <w:rFonts w:asciiTheme="minorHAnsi" w:eastAsia="Times New Roman" w:hAnsiTheme="minorHAnsi" w:cstheme="minorHAnsi"/>
                <w:color w:val="000000"/>
                <w:sz w:val="20"/>
                <w:szCs w:val="20"/>
                <w:lang w:val="sq-AL"/>
              </w:rPr>
              <w:t>–</w:t>
            </w:r>
            <w:r w:rsidRPr="00765B5D">
              <w:rPr>
                <w:rFonts w:asciiTheme="minorHAnsi" w:eastAsia="Times New Roman" w:hAnsiTheme="minorHAnsi" w:cstheme="minorHAnsi"/>
                <w:color w:val="000000"/>
                <w:sz w:val="20"/>
                <w:szCs w:val="20"/>
                <w:lang w:val="sq-AL"/>
              </w:rPr>
              <w:t xml:space="preserve"> </w:t>
            </w:r>
            <w:r w:rsidR="00D031FD">
              <w:rPr>
                <w:rFonts w:asciiTheme="minorHAnsi" w:eastAsia="Times New Roman" w:hAnsiTheme="minorHAnsi" w:cstheme="minorHAnsi"/>
                <w:color w:val="000000"/>
                <w:sz w:val="20"/>
                <w:szCs w:val="20"/>
                <w:lang w:val="sq-AL"/>
              </w:rPr>
              <w:t>teku</w:t>
            </w:r>
            <w:r w:rsidR="00D031FD">
              <w:rPr>
                <w:rFonts w:eastAsia="Times New Roman" w:cs="Calibri"/>
                <w:color w:val="000000"/>
                <w:sz w:val="20"/>
                <w:szCs w:val="20"/>
                <w:lang w:val="sq-AL"/>
              </w:rPr>
              <w:t>ć</w:t>
            </w:r>
            <w:r w:rsidR="001D2649">
              <w:rPr>
                <w:rFonts w:asciiTheme="minorHAnsi" w:eastAsia="Times New Roman" w:hAnsiTheme="minorHAnsi" w:cstheme="minorHAnsi"/>
                <w:color w:val="000000"/>
                <w:sz w:val="20"/>
                <w:szCs w:val="20"/>
                <w:lang w:val="sq-AL"/>
              </w:rPr>
              <w:t>i</w:t>
            </w:r>
            <w:r w:rsidR="00D031FD">
              <w:rPr>
                <w:rFonts w:asciiTheme="minorHAnsi" w:eastAsia="Times New Roman" w:hAnsiTheme="minorHAnsi" w:cstheme="minorHAnsi"/>
                <w:color w:val="000000"/>
                <w:sz w:val="20"/>
                <w:szCs w:val="20"/>
                <w:lang w:val="sq-AL"/>
              </w:rPr>
              <w:t xml:space="preserve"> </w:t>
            </w:r>
            <w:r w:rsidR="00D031FD" w:rsidRPr="00D031FD">
              <w:rPr>
                <w:rFonts w:asciiTheme="minorHAnsi" w:eastAsia="Times New Roman" w:hAnsiTheme="minorHAnsi" w:cstheme="minorHAnsi"/>
                <w:color w:val="000000"/>
                <w:sz w:val="20"/>
                <w:szCs w:val="20"/>
                <w:lang w:val="sq-AL"/>
              </w:rPr>
              <w:t xml:space="preserve">troškovi za godinu </w:t>
            </w:r>
            <w:r w:rsidRPr="00765B5D">
              <w:rPr>
                <w:rFonts w:asciiTheme="minorHAnsi" w:eastAsia="Times New Roman" w:hAnsiTheme="minorHAnsi" w:cstheme="minorHAnsi"/>
                <w:color w:val="000000"/>
                <w:sz w:val="20"/>
                <w:szCs w:val="20"/>
                <w:lang w:val="sq-AL"/>
              </w:rPr>
              <w:t xml:space="preserve">t-1 </w:t>
            </w:r>
          </w:p>
        </w:tc>
        <w:tc>
          <w:tcPr>
            <w:tcW w:w="917" w:type="dxa"/>
            <w:tcBorders>
              <w:top w:val="single" w:sz="4" w:space="0" w:color="auto"/>
              <w:left w:val="single" w:sz="4" w:space="0" w:color="auto"/>
              <w:bottom w:val="single" w:sz="4" w:space="0" w:color="auto"/>
              <w:right w:val="single" w:sz="4" w:space="0" w:color="auto"/>
            </w:tcBorders>
          </w:tcPr>
          <w:p w14:paraId="21339969" w14:textId="1CE6727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62E0" w14:textId="46CF7E78"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99.47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40D88" w14:textId="29E09AE6"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87.06</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F24C"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21C8E62"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29B0142F" w14:textId="45711A57" w:rsidR="004375B5" w:rsidRPr="00765B5D" w:rsidRDefault="004375B5" w:rsidP="00994488">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441.</w:t>
            </w:r>
            <w:r w:rsidRPr="00765B5D">
              <w:rPr>
                <w:rFonts w:asciiTheme="minorHAnsi" w:eastAsia="Times New Roman" w:hAnsiTheme="minorHAnsi" w:cstheme="minorHAnsi"/>
                <w:color w:val="000000"/>
                <w:sz w:val="20"/>
                <w:szCs w:val="20"/>
                <w:lang w:val="sq-AL"/>
              </w:rPr>
              <w:t xml:space="preserve">ARRt-1 -  </w:t>
            </w:r>
            <w:r w:rsidR="00994488" w:rsidRPr="00994488">
              <w:rPr>
                <w:rFonts w:asciiTheme="minorHAnsi" w:eastAsia="Times New Roman" w:hAnsiTheme="minorHAnsi" w:cstheme="minorHAnsi"/>
                <w:color w:val="000000"/>
                <w:sz w:val="20"/>
                <w:szCs w:val="20"/>
                <w:lang w:val="sq-AL"/>
              </w:rPr>
              <w:t xml:space="preserve">tekući prihodi za godinu </w:t>
            </w:r>
            <w:r w:rsidRPr="00765B5D">
              <w:rPr>
                <w:rFonts w:asciiTheme="minorHAnsi" w:eastAsia="Times New Roman" w:hAnsiTheme="minorHAnsi" w:cstheme="minorHAnsi"/>
                <w:color w:val="000000"/>
                <w:sz w:val="20"/>
                <w:szCs w:val="20"/>
                <w:lang w:val="sq-AL"/>
              </w:rPr>
              <w:t>t-1</w:t>
            </w:r>
          </w:p>
        </w:tc>
        <w:tc>
          <w:tcPr>
            <w:tcW w:w="917" w:type="dxa"/>
            <w:tcBorders>
              <w:top w:val="single" w:sz="4" w:space="0" w:color="auto"/>
              <w:left w:val="single" w:sz="4" w:space="0" w:color="auto"/>
              <w:bottom w:val="single" w:sz="4" w:space="0" w:color="auto"/>
              <w:right w:val="single" w:sz="4" w:space="0" w:color="auto"/>
            </w:tcBorders>
          </w:tcPr>
          <w:p w14:paraId="027E5EFB" w14:textId="4FC2E4F3"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138F" w14:textId="5391267D"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103.20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22F8B"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100.55</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68BC3"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D7B1B35" w14:textId="77777777" w:rsidTr="00D14FA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5C8F1792" w14:textId="77777777" w:rsidR="004375B5" w:rsidRPr="00765B5D" w:rsidRDefault="004375B5" w:rsidP="004375B5">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KREVt = (AACat-1 – ARRt-1) * (1+ It)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69265B" w14:textId="02D61952" w:rsidR="004375B5" w:rsidRDefault="004375B5" w:rsidP="004375B5">
            <w:pPr>
              <w:spacing w:after="0" w:line="240" w:lineRule="auto"/>
              <w:jc w:val="center"/>
              <w:rPr>
                <w:rFonts w:asciiTheme="minorHAnsi" w:eastAsia="Times New Roman" w:hAnsiTheme="minorHAnsi" w:cstheme="minorHAnsi"/>
                <w:b/>
                <w:bCs/>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888314C" w14:textId="450E874B"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(4.14)</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BD83B14" w14:textId="4FC9196E"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(14.49)</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15F3B84" w14:textId="77777777"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p>
        </w:tc>
      </w:tr>
      <w:tr w:rsidR="004375B5" w:rsidRPr="00765B5D" w14:paraId="3D1FE8EF" w14:textId="77777777" w:rsidTr="00D14FA8">
        <w:trPr>
          <w:trHeight w:val="91"/>
        </w:trPr>
        <w:tc>
          <w:tcPr>
            <w:tcW w:w="5445" w:type="dxa"/>
            <w:tcBorders>
              <w:top w:val="nil"/>
              <w:left w:val="nil"/>
              <w:bottom w:val="nil"/>
              <w:right w:val="nil"/>
            </w:tcBorders>
            <w:shd w:val="clear" w:color="auto" w:fill="FFFFFF" w:themeFill="background1"/>
            <w:noWrap/>
            <w:vAlign w:val="center"/>
            <w:hideMark/>
          </w:tcPr>
          <w:p w14:paraId="06CF9B72" w14:textId="77777777" w:rsidR="004375B5" w:rsidRPr="00765B5D" w:rsidRDefault="004375B5" w:rsidP="00644781">
            <w:pPr>
              <w:spacing w:after="0" w:line="240" w:lineRule="auto"/>
              <w:rPr>
                <w:rFonts w:asciiTheme="minorHAnsi" w:eastAsia="Times New Roman" w:hAnsiTheme="minorHAnsi" w:cstheme="minorHAnsi"/>
                <w:b/>
                <w:bCs/>
                <w:sz w:val="4"/>
                <w:szCs w:val="4"/>
                <w:lang w:val="sq-AL"/>
              </w:rPr>
            </w:pPr>
          </w:p>
        </w:tc>
        <w:tc>
          <w:tcPr>
            <w:tcW w:w="917" w:type="dxa"/>
            <w:tcBorders>
              <w:top w:val="single" w:sz="4" w:space="0" w:color="auto"/>
              <w:left w:val="nil"/>
              <w:bottom w:val="single" w:sz="4" w:space="0" w:color="auto"/>
              <w:right w:val="nil"/>
            </w:tcBorders>
            <w:shd w:val="clear" w:color="auto" w:fill="FFFFFF" w:themeFill="background1"/>
          </w:tcPr>
          <w:p w14:paraId="15149A37"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single" w:sz="4" w:space="0" w:color="auto"/>
              <w:right w:val="nil"/>
            </w:tcBorders>
            <w:shd w:val="clear" w:color="auto" w:fill="FFFFFF" w:themeFill="background1"/>
            <w:noWrap/>
            <w:vAlign w:val="center"/>
          </w:tcPr>
          <w:p w14:paraId="658B1A10" w14:textId="31F1674C"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single" w:sz="4" w:space="0" w:color="auto"/>
              <w:right w:val="nil"/>
            </w:tcBorders>
            <w:shd w:val="clear" w:color="auto" w:fill="FFFFFF" w:themeFill="background1"/>
            <w:noWrap/>
            <w:vAlign w:val="center"/>
          </w:tcPr>
          <w:p w14:paraId="2473B3C0"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single" w:sz="4" w:space="0" w:color="auto"/>
              <w:right w:val="nil"/>
            </w:tcBorders>
            <w:shd w:val="clear" w:color="auto" w:fill="FFFFFF" w:themeFill="background1"/>
            <w:noWrap/>
            <w:vAlign w:val="center"/>
          </w:tcPr>
          <w:p w14:paraId="05C3A1B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6C02A5" w14:paraId="537732F3" w14:textId="77777777" w:rsidTr="00D14FA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0C37F18B" w14:textId="5189E100" w:rsidR="004375B5" w:rsidRPr="00765B5D" w:rsidRDefault="001D2649" w:rsidP="001D2649">
            <w:pPr>
              <w:spacing w:after="0" w:line="240" w:lineRule="auto"/>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MAR -</w:t>
            </w:r>
            <w:r>
              <w:t xml:space="preserve"> </w:t>
            </w:r>
            <w:r w:rsidRPr="001D2649">
              <w:rPr>
                <w:rFonts w:asciiTheme="minorHAnsi" w:eastAsia="Times New Roman" w:hAnsiTheme="minorHAnsi" w:cstheme="minorHAnsi"/>
                <w:b/>
                <w:bCs/>
                <w:sz w:val="20"/>
                <w:szCs w:val="20"/>
                <w:lang w:val="sq-AL"/>
              </w:rPr>
              <w:t>maksimalno dozvoljeni prihod</w:t>
            </w:r>
            <w:r>
              <w:rPr>
                <w:rFonts w:asciiTheme="minorHAnsi" w:eastAsia="Times New Roman" w:hAnsiTheme="minorHAnsi" w:cstheme="minorHAnsi"/>
                <w:b/>
                <w:bCs/>
                <w:sz w:val="20"/>
                <w:szCs w:val="20"/>
                <w:lang w:val="sq-AL"/>
              </w:rPr>
              <w:t>i</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F41EF1" w14:textId="3D54CE16"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r w:rsidRPr="00960892">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93A175E" w14:textId="526CEE05"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101.50</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49F61FE" w14:textId="1441E361"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95</w:t>
            </w:r>
            <w:r>
              <w:rPr>
                <w:rFonts w:asciiTheme="minorHAnsi" w:eastAsia="Times New Roman" w:hAnsiTheme="minorHAnsi" w:cstheme="minorHAnsi"/>
                <w:b/>
                <w:bCs/>
                <w:sz w:val="20"/>
                <w:szCs w:val="20"/>
                <w:lang w:val="sq-AL"/>
              </w:rPr>
              <w:t>.40</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17F15E2" w14:textId="7A05B45A"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81.44</w:t>
            </w:r>
          </w:p>
        </w:tc>
      </w:tr>
      <w:tr w:rsidR="004375B5" w:rsidRPr="006C02A5" w14:paraId="0A71C68E" w14:textId="77777777" w:rsidTr="00D14FA8">
        <w:trPr>
          <w:trHeight w:val="58"/>
        </w:trPr>
        <w:tc>
          <w:tcPr>
            <w:tcW w:w="5445" w:type="dxa"/>
            <w:tcBorders>
              <w:top w:val="nil"/>
              <w:left w:val="nil"/>
              <w:bottom w:val="nil"/>
              <w:right w:val="nil"/>
            </w:tcBorders>
            <w:shd w:val="clear" w:color="auto" w:fill="FFFFFF" w:themeFill="background1"/>
            <w:noWrap/>
            <w:vAlign w:val="center"/>
            <w:hideMark/>
          </w:tcPr>
          <w:p w14:paraId="1EEA88CB" w14:textId="77777777" w:rsidR="004375B5" w:rsidRPr="006C02A5" w:rsidRDefault="004375B5" w:rsidP="00644781">
            <w:pPr>
              <w:spacing w:after="0" w:line="240" w:lineRule="auto"/>
              <w:rPr>
                <w:rFonts w:asciiTheme="minorHAnsi" w:eastAsia="Times New Roman" w:hAnsiTheme="minorHAnsi" w:cstheme="minorHAnsi"/>
                <w:b/>
                <w:bCs/>
                <w:sz w:val="4"/>
                <w:szCs w:val="4"/>
                <w:lang w:val="sq-AL"/>
              </w:rPr>
            </w:pPr>
          </w:p>
        </w:tc>
        <w:tc>
          <w:tcPr>
            <w:tcW w:w="917" w:type="dxa"/>
            <w:tcBorders>
              <w:top w:val="single" w:sz="4" w:space="0" w:color="auto"/>
              <w:left w:val="nil"/>
              <w:bottom w:val="nil"/>
              <w:right w:val="nil"/>
            </w:tcBorders>
            <w:shd w:val="clear" w:color="auto" w:fill="FFFFFF" w:themeFill="background1"/>
          </w:tcPr>
          <w:p w14:paraId="4A78417A"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nil"/>
              <w:right w:val="nil"/>
            </w:tcBorders>
            <w:shd w:val="clear" w:color="auto" w:fill="FFFFFF" w:themeFill="background1"/>
            <w:noWrap/>
            <w:vAlign w:val="center"/>
            <w:hideMark/>
          </w:tcPr>
          <w:p w14:paraId="268E9888" w14:textId="2B53D752"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nil"/>
              <w:right w:val="nil"/>
            </w:tcBorders>
            <w:shd w:val="clear" w:color="auto" w:fill="FFFFFF" w:themeFill="background1"/>
            <w:noWrap/>
            <w:vAlign w:val="center"/>
            <w:hideMark/>
          </w:tcPr>
          <w:p w14:paraId="477E6981"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nil"/>
              <w:right w:val="nil"/>
            </w:tcBorders>
            <w:shd w:val="clear" w:color="auto" w:fill="FFFFFF" w:themeFill="background1"/>
            <w:noWrap/>
            <w:vAlign w:val="center"/>
            <w:hideMark/>
          </w:tcPr>
          <w:p w14:paraId="57A25A5F"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r>
    </w:tbl>
    <w:p w14:paraId="49DAF978" w14:textId="39731283" w:rsidR="00A450CD" w:rsidRPr="0050005A" w:rsidRDefault="00A450CD" w:rsidP="00F527A5">
      <w:pPr>
        <w:spacing w:after="0" w:line="240" w:lineRule="auto"/>
        <w:jc w:val="both"/>
        <w:rPr>
          <w:lang w:val="sq-AL"/>
        </w:rPr>
      </w:pPr>
    </w:p>
    <w:sectPr w:rsidR="00A450CD" w:rsidRPr="0050005A" w:rsidSect="005D42C8">
      <w:pgSz w:w="11907" w:h="16839" w:code="9"/>
      <w:pgMar w:top="1126" w:right="1440" w:bottom="1260" w:left="1440" w:header="284"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7859" w14:textId="77777777" w:rsidR="00147829" w:rsidRDefault="00147829" w:rsidP="002F09BD">
      <w:pPr>
        <w:spacing w:after="0" w:line="240" w:lineRule="auto"/>
      </w:pPr>
      <w:r>
        <w:separator/>
      </w:r>
    </w:p>
  </w:endnote>
  <w:endnote w:type="continuationSeparator" w:id="0">
    <w:p w14:paraId="31385E72" w14:textId="77777777" w:rsidR="00147829" w:rsidRDefault="00147829" w:rsidP="002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7D04" w14:textId="77777777" w:rsidR="002E4DCA" w:rsidRPr="004726DA" w:rsidRDefault="002E4DCA">
    <w:pPr>
      <w:pStyle w:val="Footer"/>
      <w:jc w:val="right"/>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EA5B" w14:textId="77777777" w:rsidR="002E4DCA" w:rsidRDefault="002E4DCA" w:rsidP="007616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44F27CBA" w14:textId="77777777" w:rsidR="002E4DCA" w:rsidRPr="00CC5C73" w:rsidRDefault="002E4DCA" w:rsidP="007616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Tel: 038 247 615 lok. 101, Fax: 038 247 620, E-mail: info@ero-ks.org, </w:t>
    </w:r>
    <w:r>
      <w:rPr>
        <w:rFonts w:ascii="Calibri" w:hAnsi="Calibri"/>
        <w:color w:val="005F91"/>
        <w:sz w:val="18"/>
        <w:szCs w:val="18"/>
      </w:rPr>
      <w:t>w</w:t>
    </w:r>
    <w:r w:rsidRPr="00661073">
      <w:rPr>
        <w:rFonts w:ascii="Calibri" w:hAnsi="Calibri"/>
        <w:color w:val="005F91"/>
        <w:sz w:val="18"/>
        <w:szCs w:val="18"/>
      </w:rPr>
      <w:t xml:space="preserve">eb: </w:t>
    </w:r>
    <w:r>
      <w:rPr>
        <w:rFonts w:ascii="Calibri" w:hAnsi="Calibri"/>
        <w:color w:val="005F91"/>
        <w:sz w:val="18"/>
        <w:szCs w:val="18"/>
      </w:rPr>
      <w:t>www</w:t>
    </w:r>
    <w:r w:rsidRPr="00661073">
      <w:rPr>
        <w:rFonts w:ascii="Calibri" w:hAnsi="Calibri"/>
        <w:color w:val="005F91"/>
        <w:sz w:val="18"/>
        <w:szCs w:val="18"/>
      </w:rPr>
      <w:t>.ero-ks.org</w:t>
    </w:r>
  </w:p>
  <w:p w14:paraId="25A7B2FB" w14:textId="77777777" w:rsidR="002E4DCA" w:rsidRDefault="002E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C269" w14:textId="77777777" w:rsidR="00147829" w:rsidRDefault="00147829" w:rsidP="002F09BD">
      <w:pPr>
        <w:spacing w:after="0" w:line="240" w:lineRule="auto"/>
      </w:pPr>
      <w:r>
        <w:separator/>
      </w:r>
    </w:p>
  </w:footnote>
  <w:footnote w:type="continuationSeparator" w:id="0">
    <w:p w14:paraId="362E51AD" w14:textId="77777777" w:rsidR="00147829" w:rsidRDefault="00147829" w:rsidP="002F09BD">
      <w:pPr>
        <w:spacing w:after="0" w:line="240" w:lineRule="auto"/>
      </w:pPr>
      <w:r>
        <w:continuationSeparator/>
      </w:r>
    </w:p>
  </w:footnote>
  <w:footnote w:id="1">
    <w:p w14:paraId="44E71453" w14:textId="15BDDC42" w:rsidR="00D6614E" w:rsidRPr="00354587" w:rsidRDefault="00D6614E" w:rsidP="00D6614E">
      <w:pPr>
        <w:spacing w:after="0" w:line="252" w:lineRule="auto"/>
        <w:rPr>
          <w:sz w:val="20"/>
          <w:szCs w:val="20"/>
          <w:lang w:val="sq-AL"/>
        </w:rPr>
      </w:pPr>
      <w:r w:rsidRPr="0009487F">
        <w:rPr>
          <w:rStyle w:val="FootnoteReference"/>
          <w:lang w:val="sq-AL"/>
        </w:rPr>
        <w:footnoteRef/>
      </w:r>
      <w:r w:rsidRPr="0009487F">
        <w:rPr>
          <w:lang w:val="sq-AL"/>
        </w:rPr>
        <w:t xml:space="preserve"> </w:t>
      </w:r>
      <w:r w:rsidR="00276606">
        <w:rPr>
          <w:sz w:val="20"/>
          <w:szCs w:val="20"/>
          <w:lang w:val="sq-AL"/>
        </w:rPr>
        <w:t>Izvor</w:t>
      </w:r>
      <w:r w:rsidRPr="00354587">
        <w:rPr>
          <w:sz w:val="20"/>
          <w:szCs w:val="20"/>
          <w:lang w:val="sq-AL"/>
        </w:rPr>
        <w:t xml:space="preserve">: Eurostat, </w:t>
      </w:r>
      <w:hyperlink r:id="rId1" w:history="1">
        <w:r w:rsidRPr="00354587">
          <w:rPr>
            <w:rStyle w:val="Hyperlink"/>
            <w:sz w:val="20"/>
            <w:szCs w:val="20"/>
            <w:lang w:val="sq-AL"/>
          </w:rPr>
          <w:t>https://appsso.eurostat.ec.europa.eu/nui/submitViewTableAction.do</w:t>
        </w:r>
      </w:hyperlink>
      <w:r w:rsidR="00276606">
        <w:rPr>
          <w:sz w:val="20"/>
          <w:szCs w:val="20"/>
          <w:lang w:val="sq-AL"/>
        </w:rPr>
        <w:t xml:space="preserve"> (poseto dana</w:t>
      </w:r>
      <w:r w:rsidRPr="00354587">
        <w:rPr>
          <w:sz w:val="20"/>
          <w:szCs w:val="20"/>
          <w:lang w:val="sq-AL"/>
        </w:rPr>
        <w:t xml:space="preserve"> 27.01.2020)</w:t>
      </w:r>
    </w:p>
  </w:footnote>
  <w:footnote w:id="2">
    <w:p w14:paraId="1B0E9AF0" w14:textId="0AD8EFFF" w:rsidR="002E4DCA" w:rsidRPr="00354587" w:rsidRDefault="002E4DCA" w:rsidP="00026AD9">
      <w:pPr>
        <w:pStyle w:val="FootnoteText"/>
        <w:spacing w:after="0"/>
        <w:rPr>
          <w:szCs w:val="20"/>
          <w:lang w:val="sq-AL"/>
        </w:rPr>
      </w:pPr>
      <w:r w:rsidRPr="00354587">
        <w:rPr>
          <w:rStyle w:val="FootnoteReference"/>
          <w:szCs w:val="20"/>
          <w:lang w:val="sq-AL"/>
        </w:rPr>
        <w:footnoteRef/>
      </w:r>
      <w:r w:rsidRPr="00354587">
        <w:rPr>
          <w:szCs w:val="20"/>
          <w:lang w:val="sq-AL"/>
        </w:rPr>
        <w:t xml:space="preserve"> </w:t>
      </w:r>
      <w:r w:rsidR="00276606">
        <w:rPr>
          <w:szCs w:val="20"/>
          <w:lang w:val="sq-AL"/>
        </w:rPr>
        <w:t>Dozvoljeno Periodičnim P</w:t>
      </w:r>
      <w:r w:rsidR="00276606" w:rsidRPr="00276606">
        <w:rPr>
          <w:szCs w:val="20"/>
          <w:lang w:val="sq-AL"/>
        </w:rPr>
        <w:t xml:space="preserve">regledom </w:t>
      </w:r>
      <w:r w:rsidR="00276606">
        <w:rPr>
          <w:szCs w:val="20"/>
          <w:lang w:val="sq-AL"/>
        </w:rPr>
        <w:t>2018-2022 link</w:t>
      </w:r>
      <w:r w:rsidRPr="00354587">
        <w:rPr>
          <w:szCs w:val="20"/>
          <w:lang w:val="sq-AL"/>
        </w:rPr>
        <w:t>:</w:t>
      </w:r>
    </w:p>
    <w:p w14:paraId="1A5AB132" w14:textId="77777777" w:rsidR="002E4DCA" w:rsidRPr="00966ECD" w:rsidRDefault="002E4DCA" w:rsidP="00F940AC">
      <w:pPr>
        <w:pStyle w:val="FootnoteText"/>
        <w:spacing w:after="0"/>
        <w:rPr>
          <w:lang w:val="en-US"/>
        </w:rPr>
      </w:pPr>
      <w:r w:rsidRPr="00354587">
        <w:rPr>
          <w:szCs w:val="20"/>
          <w:lang w:val="en-US"/>
        </w:rPr>
        <w:t xml:space="preserve"> </w:t>
      </w:r>
      <w:hyperlink r:id="rId2" w:history="1">
        <w:r w:rsidRPr="00354587">
          <w:rPr>
            <w:rStyle w:val="Hyperlink"/>
            <w:szCs w:val="20"/>
            <w:lang w:val="en-US"/>
          </w:rPr>
          <w:t>http://ero-ks.org/2018/Raportet/Pergjigje%20ndaj%20komenteve%20te%20KEDS_PRR2_final.pdf</w:t>
        </w:r>
      </w:hyperlink>
      <w:r w:rsidRPr="00354587">
        <w:rPr>
          <w:szCs w:val="20"/>
          <w:lang w:val="en-US"/>
        </w:rPr>
        <w:t xml:space="preserve"> </w:t>
      </w:r>
    </w:p>
  </w:footnote>
  <w:footnote w:id="3">
    <w:p w14:paraId="244C93FF" w14:textId="74112F16" w:rsidR="002E4DCA" w:rsidRPr="0009487F" w:rsidRDefault="002E4DCA">
      <w:pPr>
        <w:pStyle w:val="FootnoteText"/>
        <w:rPr>
          <w:rFonts w:ascii="Arial" w:hAnsi="Arial"/>
          <w:lang w:val="sq-AL"/>
        </w:rPr>
      </w:pPr>
      <w:r>
        <w:rPr>
          <w:rStyle w:val="FootnoteReference"/>
        </w:rPr>
        <w:footnoteRef/>
      </w:r>
      <w:r>
        <w:t xml:space="preserve"> </w:t>
      </w:r>
      <w:r w:rsidR="00331609">
        <w:t>Ove potrošnje su deo opšte</w:t>
      </w:r>
      <w:r w:rsidR="00331609">
        <w:t>g ažuriranja odraza u MAR-u 2021</w:t>
      </w:r>
      <w:r w:rsidR="00331609">
        <w:t>. godine.</w:t>
      </w:r>
      <w:r w:rsidRPr="0009487F">
        <w:rPr>
          <w:lang w:val="sq-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A7E2" w14:textId="77777777" w:rsidR="002E4DCA" w:rsidRDefault="002E4DCA" w:rsidP="00033CDB">
    <w:pPr>
      <w:pStyle w:val="Header"/>
      <w:ind w:left="-810"/>
    </w:pPr>
    <w:r>
      <w:object w:dxaOrig="1171" w:dyaOrig="1740" w14:anchorId="1AE40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75pt" o:ole="">
          <v:imagedata r:id="rId1" o:title=""/>
        </v:shape>
        <o:OLEObject Type="Embed" ProgID="CorelDRAW.Graphic.14" ShapeID="_x0000_i1025" DrawAspect="Content" ObjectID="_169149494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063F" w14:textId="77777777" w:rsidR="002E4DCA" w:rsidRDefault="002E4DCA" w:rsidP="00417A40">
    <w:pPr>
      <w:pStyle w:val="Header"/>
      <w:tabs>
        <w:tab w:val="clear" w:pos="8640"/>
        <w:tab w:val="right" w:pos="9000"/>
      </w:tabs>
      <w:ind w:left="-450"/>
      <w:jc w:val="center"/>
    </w:pPr>
    <w:r>
      <w:rPr>
        <w:noProof/>
        <w:lang w:val="en-US"/>
      </w:rPr>
      <w:drawing>
        <wp:inline distT="0" distB="0" distL="0" distR="0" wp14:anchorId="39CAC3A6" wp14:editId="32C0883A">
          <wp:extent cx="5739130" cy="11734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9130" cy="1173480"/>
                  </a:xfrm>
                  <a:prstGeom prst="rect">
                    <a:avLst/>
                  </a:prstGeom>
                  <a:noFill/>
                  <a:ln w="9525">
                    <a:noFill/>
                    <a:miter lim="800000"/>
                    <a:headEnd/>
                    <a:tailEnd/>
                  </a:ln>
                </pic:spPr>
              </pic:pic>
            </a:graphicData>
          </a:graphic>
        </wp:inline>
      </w:drawing>
    </w:r>
  </w:p>
  <w:p w14:paraId="74AA5176" w14:textId="77777777" w:rsidR="002E4DCA" w:rsidRDefault="002E4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D5297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165AC"/>
    <w:multiLevelType w:val="hybridMultilevel"/>
    <w:tmpl w:val="72606134"/>
    <w:lvl w:ilvl="0" w:tplc="4038083A">
      <w:start w:val="1"/>
      <w:numFmt w:val="bullet"/>
      <w:lvlText w:val=""/>
      <w:lvlJc w:val="left"/>
      <w:pPr>
        <w:tabs>
          <w:tab w:val="num" w:pos="720"/>
        </w:tabs>
        <w:ind w:left="720" w:hanging="360"/>
      </w:pPr>
      <w:rPr>
        <w:rFonts w:ascii="Wingdings" w:hAnsi="Wingdings" w:hint="default"/>
        <w:b w:val="0"/>
        <w:i w:val="0"/>
        <w:color w:val="003366"/>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9086C"/>
    <w:multiLevelType w:val="hybridMultilevel"/>
    <w:tmpl w:val="82B2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803403"/>
    <w:multiLevelType w:val="hybridMultilevel"/>
    <w:tmpl w:val="75A6DADE"/>
    <w:lvl w:ilvl="0" w:tplc="08090001">
      <w:start w:val="1"/>
      <w:numFmt w:val="bullet"/>
      <w:lvlText w:val=""/>
      <w:lvlJc w:val="left"/>
      <w:pPr>
        <w:ind w:left="720" w:hanging="360"/>
      </w:pPr>
      <w:rPr>
        <w:rFonts w:ascii="Symbol" w:hAnsi="Symbol" w:hint="default"/>
      </w:rPr>
    </w:lvl>
    <w:lvl w:ilvl="1" w:tplc="11E27A3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E74CD"/>
    <w:multiLevelType w:val="hybridMultilevel"/>
    <w:tmpl w:val="59BE5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13FE3"/>
    <w:multiLevelType w:val="hybridMultilevel"/>
    <w:tmpl w:val="2BA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03CF5"/>
    <w:multiLevelType w:val="hybridMultilevel"/>
    <w:tmpl w:val="95207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F7332"/>
    <w:multiLevelType w:val="hybridMultilevel"/>
    <w:tmpl w:val="2BB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38221C55"/>
    <w:multiLevelType w:val="hybridMultilevel"/>
    <w:tmpl w:val="547806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C6F91"/>
    <w:multiLevelType w:val="hybridMultilevel"/>
    <w:tmpl w:val="C95C8590"/>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2309F"/>
    <w:multiLevelType w:val="hybridMultilevel"/>
    <w:tmpl w:val="E8BA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39E46CF"/>
    <w:multiLevelType w:val="hybridMultilevel"/>
    <w:tmpl w:val="7BD6373C"/>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42C82"/>
    <w:multiLevelType w:val="hybridMultilevel"/>
    <w:tmpl w:val="8564DF4C"/>
    <w:lvl w:ilvl="0" w:tplc="04090001">
      <w:start w:val="1"/>
      <w:numFmt w:val="bullet"/>
      <w:lvlText w:val=""/>
      <w:lvlJc w:val="left"/>
      <w:pPr>
        <w:ind w:left="720" w:hanging="360"/>
      </w:pPr>
      <w:rPr>
        <w:rFonts w:ascii="Symbol" w:hAnsi="Symbol" w:hint="default"/>
      </w:rPr>
    </w:lvl>
    <w:lvl w:ilvl="1" w:tplc="179AB55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4135C"/>
    <w:multiLevelType w:val="hybridMultilevel"/>
    <w:tmpl w:val="B412B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05FE2"/>
    <w:multiLevelType w:val="hybridMultilevel"/>
    <w:tmpl w:val="7DC8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015F9"/>
    <w:multiLevelType w:val="multilevel"/>
    <w:tmpl w:val="55E21FB6"/>
    <w:lvl w:ilvl="0">
      <w:start w:val="1"/>
      <w:numFmt w:val="decimal"/>
      <w:lvlText w:val="Schedu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2"/>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2">
      <w:start w:val="1"/>
      <w:numFmt w:val="decimal"/>
      <w:lvlText w:val="%2.%3"/>
      <w:lvlJc w:val="left"/>
      <w:pPr>
        <w:ind w:left="1440" w:hanging="720"/>
      </w:pPr>
      <w:rPr>
        <w:rFonts w:ascii="Times New Roman" w:hAnsi="Times New Roman" w:hint="default"/>
        <w:b w:val="0"/>
        <w:i w:val="0"/>
        <w:sz w:val="22"/>
      </w:rPr>
    </w:lvl>
    <w:lvl w:ilvl="3">
      <w:start w:val="1"/>
      <w:numFmt w:val="lowerRoman"/>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DFA31FB"/>
    <w:multiLevelType w:val="hybridMultilevel"/>
    <w:tmpl w:val="08B2E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7"/>
  </w:num>
  <w:num w:numId="9">
    <w:abstractNumId w:val="16"/>
  </w:num>
  <w:num w:numId="10">
    <w:abstractNumId w:val="14"/>
  </w:num>
  <w:num w:numId="11">
    <w:abstractNumId w:val="4"/>
  </w:num>
  <w:num w:numId="12">
    <w:abstractNumId w:val="3"/>
  </w:num>
  <w:num w:numId="13">
    <w:abstractNumId w:val="9"/>
  </w:num>
  <w:num w:numId="14">
    <w:abstractNumId w:val="15"/>
  </w:num>
  <w:num w:numId="15">
    <w:abstractNumId w:val="13"/>
  </w:num>
  <w:num w:numId="16">
    <w:abstractNumId w:val="10"/>
  </w:num>
  <w:num w:numId="17">
    <w:abstractNumId w:val="11"/>
  </w:num>
  <w:num w:numId="18">
    <w:abstractNumId w:val="7"/>
  </w:num>
  <w:num w:numId="19">
    <w:abstractNumId w:val="12"/>
  </w:num>
  <w:num w:numId="20">
    <w:abstractNumId w:val="18"/>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BD"/>
    <w:rsid w:val="000075DE"/>
    <w:rsid w:val="00011291"/>
    <w:rsid w:val="00017060"/>
    <w:rsid w:val="0002154F"/>
    <w:rsid w:val="00026AD9"/>
    <w:rsid w:val="00033CDB"/>
    <w:rsid w:val="000349B2"/>
    <w:rsid w:val="00036514"/>
    <w:rsid w:val="00051162"/>
    <w:rsid w:val="000521AB"/>
    <w:rsid w:val="000610F2"/>
    <w:rsid w:val="0006542D"/>
    <w:rsid w:val="00065E61"/>
    <w:rsid w:val="00065F01"/>
    <w:rsid w:val="00076A18"/>
    <w:rsid w:val="00091675"/>
    <w:rsid w:val="00092F60"/>
    <w:rsid w:val="0009487F"/>
    <w:rsid w:val="00096BDB"/>
    <w:rsid w:val="000A0332"/>
    <w:rsid w:val="000A0C46"/>
    <w:rsid w:val="000B50B2"/>
    <w:rsid w:val="000B544A"/>
    <w:rsid w:val="000C1A4A"/>
    <w:rsid w:val="000C382B"/>
    <w:rsid w:val="000D0178"/>
    <w:rsid w:val="000E7993"/>
    <w:rsid w:val="000F5125"/>
    <w:rsid w:val="001003D6"/>
    <w:rsid w:val="001020CC"/>
    <w:rsid w:val="00110A5E"/>
    <w:rsid w:val="00110DA3"/>
    <w:rsid w:val="001114C6"/>
    <w:rsid w:val="00112A1A"/>
    <w:rsid w:val="00114A6C"/>
    <w:rsid w:val="00115217"/>
    <w:rsid w:val="00120327"/>
    <w:rsid w:val="00121F32"/>
    <w:rsid w:val="00126B87"/>
    <w:rsid w:val="00127546"/>
    <w:rsid w:val="0013069E"/>
    <w:rsid w:val="00130F72"/>
    <w:rsid w:val="00131AF1"/>
    <w:rsid w:val="001347E6"/>
    <w:rsid w:val="00135171"/>
    <w:rsid w:val="00135D63"/>
    <w:rsid w:val="00142DAB"/>
    <w:rsid w:val="0014670E"/>
    <w:rsid w:val="00147829"/>
    <w:rsid w:val="00154C01"/>
    <w:rsid w:val="0016114E"/>
    <w:rsid w:val="00162F92"/>
    <w:rsid w:val="00167C7B"/>
    <w:rsid w:val="00176EBC"/>
    <w:rsid w:val="00180CF1"/>
    <w:rsid w:val="001871E7"/>
    <w:rsid w:val="001929A5"/>
    <w:rsid w:val="0019326C"/>
    <w:rsid w:val="00193864"/>
    <w:rsid w:val="001952E5"/>
    <w:rsid w:val="001A59E2"/>
    <w:rsid w:val="001A7286"/>
    <w:rsid w:val="001C02F7"/>
    <w:rsid w:val="001C13E3"/>
    <w:rsid w:val="001C3595"/>
    <w:rsid w:val="001C378F"/>
    <w:rsid w:val="001C56F1"/>
    <w:rsid w:val="001C722E"/>
    <w:rsid w:val="001C7CF4"/>
    <w:rsid w:val="001D2649"/>
    <w:rsid w:val="001D66A0"/>
    <w:rsid w:val="001D6D68"/>
    <w:rsid w:val="001E2AF6"/>
    <w:rsid w:val="001E3269"/>
    <w:rsid w:val="001E3DE9"/>
    <w:rsid w:val="001F008F"/>
    <w:rsid w:val="001F7549"/>
    <w:rsid w:val="00200343"/>
    <w:rsid w:val="00203CCC"/>
    <w:rsid w:val="002045A7"/>
    <w:rsid w:val="00216C61"/>
    <w:rsid w:val="00216D75"/>
    <w:rsid w:val="00216F71"/>
    <w:rsid w:val="002212FC"/>
    <w:rsid w:val="00223C5D"/>
    <w:rsid w:val="00227269"/>
    <w:rsid w:val="00236883"/>
    <w:rsid w:val="00237FBB"/>
    <w:rsid w:val="00241397"/>
    <w:rsid w:val="00243C4E"/>
    <w:rsid w:val="00250CC7"/>
    <w:rsid w:val="00265E2C"/>
    <w:rsid w:val="002676C0"/>
    <w:rsid w:val="00273CB1"/>
    <w:rsid w:val="002746D1"/>
    <w:rsid w:val="00275410"/>
    <w:rsid w:val="00276606"/>
    <w:rsid w:val="00277861"/>
    <w:rsid w:val="00286676"/>
    <w:rsid w:val="002A1659"/>
    <w:rsid w:val="002A70EE"/>
    <w:rsid w:val="002B1129"/>
    <w:rsid w:val="002C13E9"/>
    <w:rsid w:val="002C3DFF"/>
    <w:rsid w:val="002D231D"/>
    <w:rsid w:val="002D248B"/>
    <w:rsid w:val="002D307B"/>
    <w:rsid w:val="002D580A"/>
    <w:rsid w:val="002E274C"/>
    <w:rsid w:val="002E3C3D"/>
    <w:rsid w:val="002E4DCA"/>
    <w:rsid w:val="002E6AE9"/>
    <w:rsid w:val="002E70D9"/>
    <w:rsid w:val="002F09BD"/>
    <w:rsid w:val="002F3924"/>
    <w:rsid w:val="002F5664"/>
    <w:rsid w:val="0030134E"/>
    <w:rsid w:val="00301583"/>
    <w:rsid w:val="00302160"/>
    <w:rsid w:val="00310126"/>
    <w:rsid w:val="00310EE8"/>
    <w:rsid w:val="0031382E"/>
    <w:rsid w:val="00316280"/>
    <w:rsid w:val="003163E2"/>
    <w:rsid w:val="003173B9"/>
    <w:rsid w:val="003177F2"/>
    <w:rsid w:val="003230BA"/>
    <w:rsid w:val="003260E7"/>
    <w:rsid w:val="00331609"/>
    <w:rsid w:val="003327BF"/>
    <w:rsid w:val="00340C38"/>
    <w:rsid w:val="003436E2"/>
    <w:rsid w:val="00344D5B"/>
    <w:rsid w:val="00345A64"/>
    <w:rsid w:val="00353889"/>
    <w:rsid w:val="00353E21"/>
    <w:rsid w:val="00354587"/>
    <w:rsid w:val="0036249A"/>
    <w:rsid w:val="0037639F"/>
    <w:rsid w:val="00380FDF"/>
    <w:rsid w:val="00381529"/>
    <w:rsid w:val="003836E5"/>
    <w:rsid w:val="003838CA"/>
    <w:rsid w:val="00394E4C"/>
    <w:rsid w:val="00396478"/>
    <w:rsid w:val="003967FF"/>
    <w:rsid w:val="00396C72"/>
    <w:rsid w:val="003A05F6"/>
    <w:rsid w:val="003A0B18"/>
    <w:rsid w:val="003A62AF"/>
    <w:rsid w:val="003C04D3"/>
    <w:rsid w:val="003C7B15"/>
    <w:rsid w:val="003D147D"/>
    <w:rsid w:val="003D26B0"/>
    <w:rsid w:val="003D53A5"/>
    <w:rsid w:val="003E21DB"/>
    <w:rsid w:val="003E3B52"/>
    <w:rsid w:val="003E3F4E"/>
    <w:rsid w:val="003E4B7D"/>
    <w:rsid w:val="003F01E2"/>
    <w:rsid w:val="003F32D6"/>
    <w:rsid w:val="003F3C46"/>
    <w:rsid w:val="003F5166"/>
    <w:rsid w:val="003F5C09"/>
    <w:rsid w:val="003F62EE"/>
    <w:rsid w:val="00401A68"/>
    <w:rsid w:val="00402D6C"/>
    <w:rsid w:val="00406D54"/>
    <w:rsid w:val="00413538"/>
    <w:rsid w:val="00417A40"/>
    <w:rsid w:val="00431EAA"/>
    <w:rsid w:val="00432D08"/>
    <w:rsid w:val="00433712"/>
    <w:rsid w:val="00436406"/>
    <w:rsid w:val="004375B5"/>
    <w:rsid w:val="00445761"/>
    <w:rsid w:val="00446876"/>
    <w:rsid w:val="00447F79"/>
    <w:rsid w:val="004523D7"/>
    <w:rsid w:val="00454DAB"/>
    <w:rsid w:val="004637B3"/>
    <w:rsid w:val="00463874"/>
    <w:rsid w:val="0047177D"/>
    <w:rsid w:val="004726DA"/>
    <w:rsid w:val="004805A7"/>
    <w:rsid w:val="00480BEE"/>
    <w:rsid w:val="00484547"/>
    <w:rsid w:val="00484FD8"/>
    <w:rsid w:val="00485D5B"/>
    <w:rsid w:val="004A0C25"/>
    <w:rsid w:val="004A634F"/>
    <w:rsid w:val="004B4461"/>
    <w:rsid w:val="004C2F15"/>
    <w:rsid w:val="004D1A22"/>
    <w:rsid w:val="004D6ADF"/>
    <w:rsid w:val="004E1EFA"/>
    <w:rsid w:val="004E464B"/>
    <w:rsid w:val="004F02C6"/>
    <w:rsid w:val="004F1E43"/>
    <w:rsid w:val="004F2CDC"/>
    <w:rsid w:val="004F3108"/>
    <w:rsid w:val="004F3654"/>
    <w:rsid w:val="004F47E3"/>
    <w:rsid w:val="004F49DD"/>
    <w:rsid w:val="004F52BF"/>
    <w:rsid w:val="004F757F"/>
    <w:rsid w:val="0050005A"/>
    <w:rsid w:val="00502489"/>
    <w:rsid w:val="00505100"/>
    <w:rsid w:val="005127AC"/>
    <w:rsid w:val="005154F5"/>
    <w:rsid w:val="00515C2F"/>
    <w:rsid w:val="00516516"/>
    <w:rsid w:val="00520315"/>
    <w:rsid w:val="00521925"/>
    <w:rsid w:val="005241FB"/>
    <w:rsid w:val="00527FDC"/>
    <w:rsid w:val="00536832"/>
    <w:rsid w:val="00540C0E"/>
    <w:rsid w:val="00541C66"/>
    <w:rsid w:val="00547FE9"/>
    <w:rsid w:val="00553AD9"/>
    <w:rsid w:val="005547C7"/>
    <w:rsid w:val="0055571F"/>
    <w:rsid w:val="00556BA0"/>
    <w:rsid w:val="005609DA"/>
    <w:rsid w:val="0056204C"/>
    <w:rsid w:val="0056587E"/>
    <w:rsid w:val="005725C1"/>
    <w:rsid w:val="0057317C"/>
    <w:rsid w:val="00581D6F"/>
    <w:rsid w:val="00583375"/>
    <w:rsid w:val="0058656D"/>
    <w:rsid w:val="00587C86"/>
    <w:rsid w:val="00591002"/>
    <w:rsid w:val="00593A72"/>
    <w:rsid w:val="005A4350"/>
    <w:rsid w:val="005A437A"/>
    <w:rsid w:val="005A449F"/>
    <w:rsid w:val="005B10D6"/>
    <w:rsid w:val="005B4262"/>
    <w:rsid w:val="005B4A6A"/>
    <w:rsid w:val="005C291C"/>
    <w:rsid w:val="005C2E30"/>
    <w:rsid w:val="005C780F"/>
    <w:rsid w:val="005D1394"/>
    <w:rsid w:val="005D42C8"/>
    <w:rsid w:val="005D47B9"/>
    <w:rsid w:val="005D4B42"/>
    <w:rsid w:val="005D54A4"/>
    <w:rsid w:val="005F2781"/>
    <w:rsid w:val="005F6030"/>
    <w:rsid w:val="005F6BCC"/>
    <w:rsid w:val="006012A8"/>
    <w:rsid w:val="0060245B"/>
    <w:rsid w:val="006057DA"/>
    <w:rsid w:val="00607FDE"/>
    <w:rsid w:val="00610978"/>
    <w:rsid w:val="00612293"/>
    <w:rsid w:val="0062087B"/>
    <w:rsid w:val="006314FC"/>
    <w:rsid w:val="006316A7"/>
    <w:rsid w:val="00632DAE"/>
    <w:rsid w:val="00633713"/>
    <w:rsid w:val="00644781"/>
    <w:rsid w:val="006460FF"/>
    <w:rsid w:val="00646C52"/>
    <w:rsid w:val="00647F7E"/>
    <w:rsid w:val="006522CF"/>
    <w:rsid w:val="0065353D"/>
    <w:rsid w:val="006576D7"/>
    <w:rsid w:val="00664D98"/>
    <w:rsid w:val="00667484"/>
    <w:rsid w:val="006729CF"/>
    <w:rsid w:val="006760D1"/>
    <w:rsid w:val="0068475D"/>
    <w:rsid w:val="00685A87"/>
    <w:rsid w:val="006919AB"/>
    <w:rsid w:val="00692D56"/>
    <w:rsid w:val="006951B0"/>
    <w:rsid w:val="006B0BF3"/>
    <w:rsid w:val="006B0C4D"/>
    <w:rsid w:val="006B3DB1"/>
    <w:rsid w:val="006B5CD8"/>
    <w:rsid w:val="006B72FB"/>
    <w:rsid w:val="006C02A5"/>
    <w:rsid w:val="006C0D89"/>
    <w:rsid w:val="006C2087"/>
    <w:rsid w:val="006C3489"/>
    <w:rsid w:val="006C37D2"/>
    <w:rsid w:val="006C6135"/>
    <w:rsid w:val="006D33BB"/>
    <w:rsid w:val="006D546B"/>
    <w:rsid w:val="006D75AB"/>
    <w:rsid w:val="006E51E6"/>
    <w:rsid w:val="006F7E96"/>
    <w:rsid w:val="0070154A"/>
    <w:rsid w:val="00705079"/>
    <w:rsid w:val="00707600"/>
    <w:rsid w:val="007101EB"/>
    <w:rsid w:val="00713E68"/>
    <w:rsid w:val="0071428C"/>
    <w:rsid w:val="007219DA"/>
    <w:rsid w:val="00722DE6"/>
    <w:rsid w:val="00723B45"/>
    <w:rsid w:val="00732E9B"/>
    <w:rsid w:val="007345DF"/>
    <w:rsid w:val="007412D5"/>
    <w:rsid w:val="007473B5"/>
    <w:rsid w:val="0075369E"/>
    <w:rsid w:val="0075459B"/>
    <w:rsid w:val="0076161F"/>
    <w:rsid w:val="007654E5"/>
    <w:rsid w:val="0076575E"/>
    <w:rsid w:val="00765B5D"/>
    <w:rsid w:val="00767514"/>
    <w:rsid w:val="00770E13"/>
    <w:rsid w:val="00771A4D"/>
    <w:rsid w:val="0077238B"/>
    <w:rsid w:val="00772A86"/>
    <w:rsid w:val="007768AD"/>
    <w:rsid w:val="00776BE1"/>
    <w:rsid w:val="0078123E"/>
    <w:rsid w:val="00784664"/>
    <w:rsid w:val="00790377"/>
    <w:rsid w:val="0079096B"/>
    <w:rsid w:val="00791F17"/>
    <w:rsid w:val="00791F86"/>
    <w:rsid w:val="00793DF6"/>
    <w:rsid w:val="007945D7"/>
    <w:rsid w:val="00794B05"/>
    <w:rsid w:val="00795781"/>
    <w:rsid w:val="007961A1"/>
    <w:rsid w:val="007972E2"/>
    <w:rsid w:val="007A3202"/>
    <w:rsid w:val="007A3F5D"/>
    <w:rsid w:val="007A5EB3"/>
    <w:rsid w:val="007C1E1F"/>
    <w:rsid w:val="007D43A1"/>
    <w:rsid w:val="007E3689"/>
    <w:rsid w:val="007E3943"/>
    <w:rsid w:val="007E6B65"/>
    <w:rsid w:val="007F6517"/>
    <w:rsid w:val="007F7FD6"/>
    <w:rsid w:val="00800DF4"/>
    <w:rsid w:val="00801D03"/>
    <w:rsid w:val="008063DA"/>
    <w:rsid w:val="00813CE5"/>
    <w:rsid w:val="00814A42"/>
    <w:rsid w:val="00821F08"/>
    <w:rsid w:val="00825B07"/>
    <w:rsid w:val="008261DE"/>
    <w:rsid w:val="008266E4"/>
    <w:rsid w:val="00832501"/>
    <w:rsid w:val="00841886"/>
    <w:rsid w:val="008449B4"/>
    <w:rsid w:val="00846940"/>
    <w:rsid w:val="008472B0"/>
    <w:rsid w:val="00854339"/>
    <w:rsid w:val="008700A2"/>
    <w:rsid w:val="008747AC"/>
    <w:rsid w:val="00877D51"/>
    <w:rsid w:val="00883824"/>
    <w:rsid w:val="00886748"/>
    <w:rsid w:val="00887140"/>
    <w:rsid w:val="00891764"/>
    <w:rsid w:val="0089334E"/>
    <w:rsid w:val="00893928"/>
    <w:rsid w:val="008944D8"/>
    <w:rsid w:val="00897981"/>
    <w:rsid w:val="008A67AD"/>
    <w:rsid w:val="008B0B63"/>
    <w:rsid w:val="008B1A4B"/>
    <w:rsid w:val="008B4C38"/>
    <w:rsid w:val="008B6E10"/>
    <w:rsid w:val="008C0BD2"/>
    <w:rsid w:val="008C1727"/>
    <w:rsid w:val="008C5359"/>
    <w:rsid w:val="008D0695"/>
    <w:rsid w:val="008D7304"/>
    <w:rsid w:val="008E05E7"/>
    <w:rsid w:val="008E07CC"/>
    <w:rsid w:val="008E4D02"/>
    <w:rsid w:val="008E6219"/>
    <w:rsid w:val="008F7A38"/>
    <w:rsid w:val="009003DF"/>
    <w:rsid w:val="009015EA"/>
    <w:rsid w:val="00903627"/>
    <w:rsid w:val="00906DF3"/>
    <w:rsid w:val="00907115"/>
    <w:rsid w:val="009103E3"/>
    <w:rsid w:val="009174D2"/>
    <w:rsid w:val="00917FA2"/>
    <w:rsid w:val="00920525"/>
    <w:rsid w:val="00925225"/>
    <w:rsid w:val="00932389"/>
    <w:rsid w:val="009327C4"/>
    <w:rsid w:val="00932F3D"/>
    <w:rsid w:val="00942D34"/>
    <w:rsid w:val="009430C6"/>
    <w:rsid w:val="00960B46"/>
    <w:rsid w:val="00962A9A"/>
    <w:rsid w:val="00964B9D"/>
    <w:rsid w:val="00966ECD"/>
    <w:rsid w:val="0096756F"/>
    <w:rsid w:val="0097448A"/>
    <w:rsid w:val="00977991"/>
    <w:rsid w:val="00977AB7"/>
    <w:rsid w:val="00977EFC"/>
    <w:rsid w:val="00982CD7"/>
    <w:rsid w:val="0098330D"/>
    <w:rsid w:val="0098350E"/>
    <w:rsid w:val="00983B5C"/>
    <w:rsid w:val="00983C81"/>
    <w:rsid w:val="00994488"/>
    <w:rsid w:val="009B1045"/>
    <w:rsid w:val="009B69A2"/>
    <w:rsid w:val="009C1055"/>
    <w:rsid w:val="009C12A4"/>
    <w:rsid w:val="009C4D48"/>
    <w:rsid w:val="009C4F5E"/>
    <w:rsid w:val="009C563E"/>
    <w:rsid w:val="009E70DB"/>
    <w:rsid w:val="009F0030"/>
    <w:rsid w:val="00A11B26"/>
    <w:rsid w:val="00A15416"/>
    <w:rsid w:val="00A20937"/>
    <w:rsid w:val="00A232D4"/>
    <w:rsid w:val="00A3350C"/>
    <w:rsid w:val="00A350E9"/>
    <w:rsid w:val="00A36FE4"/>
    <w:rsid w:val="00A43E3D"/>
    <w:rsid w:val="00A44D20"/>
    <w:rsid w:val="00A44E21"/>
    <w:rsid w:val="00A4502A"/>
    <w:rsid w:val="00A450CD"/>
    <w:rsid w:val="00A469AF"/>
    <w:rsid w:val="00A53A8A"/>
    <w:rsid w:val="00A57FBA"/>
    <w:rsid w:val="00A608BE"/>
    <w:rsid w:val="00A6531F"/>
    <w:rsid w:val="00A66173"/>
    <w:rsid w:val="00A67601"/>
    <w:rsid w:val="00A700B1"/>
    <w:rsid w:val="00A715BF"/>
    <w:rsid w:val="00A73DBB"/>
    <w:rsid w:val="00A806E9"/>
    <w:rsid w:val="00A8655B"/>
    <w:rsid w:val="00A96681"/>
    <w:rsid w:val="00AA661E"/>
    <w:rsid w:val="00AB27EB"/>
    <w:rsid w:val="00AB6B55"/>
    <w:rsid w:val="00AC6933"/>
    <w:rsid w:val="00AC7EB7"/>
    <w:rsid w:val="00AD08FA"/>
    <w:rsid w:val="00AD45B6"/>
    <w:rsid w:val="00AD5C8C"/>
    <w:rsid w:val="00AD6D5F"/>
    <w:rsid w:val="00AE10F7"/>
    <w:rsid w:val="00AE6598"/>
    <w:rsid w:val="00AF0767"/>
    <w:rsid w:val="00AF4B6C"/>
    <w:rsid w:val="00B01C51"/>
    <w:rsid w:val="00B1447F"/>
    <w:rsid w:val="00B161F1"/>
    <w:rsid w:val="00B178F1"/>
    <w:rsid w:val="00B2126A"/>
    <w:rsid w:val="00B321E1"/>
    <w:rsid w:val="00B37154"/>
    <w:rsid w:val="00B40E6D"/>
    <w:rsid w:val="00B41F14"/>
    <w:rsid w:val="00B42D12"/>
    <w:rsid w:val="00B43C12"/>
    <w:rsid w:val="00B5056F"/>
    <w:rsid w:val="00B50938"/>
    <w:rsid w:val="00B61485"/>
    <w:rsid w:val="00B62BEB"/>
    <w:rsid w:val="00B63A38"/>
    <w:rsid w:val="00B80164"/>
    <w:rsid w:val="00B8183B"/>
    <w:rsid w:val="00BA4680"/>
    <w:rsid w:val="00BA7A8A"/>
    <w:rsid w:val="00BB2BD2"/>
    <w:rsid w:val="00BB438A"/>
    <w:rsid w:val="00BD05F7"/>
    <w:rsid w:val="00BD314F"/>
    <w:rsid w:val="00BD42B4"/>
    <w:rsid w:val="00BF028E"/>
    <w:rsid w:val="00C016EC"/>
    <w:rsid w:val="00C12D2D"/>
    <w:rsid w:val="00C16E3E"/>
    <w:rsid w:val="00C20206"/>
    <w:rsid w:val="00C21984"/>
    <w:rsid w:val="00C23153"/>
    <w:rsid w:val="00C257FF"/>
    <w:rsid w:val="00C37441"/>
    <w:rsid w:val="00C4268A"/>
    <w:rsid w:val="00C426C7"/>
    <w:rsid w:val="00C446E4"/>
    <w:rsid w:val="00C501B1"/>
    <w:rsid w:val="00C562C4"/>
    <w:rsid w:val="00C608F4"/>
    <w:rsid w:val="00C62A57"/>
    <w:rsid w:val="00C63FBA"/>
    <w:rsid w:val="00C66773"/>
    <w:rsid w:val="00C671A6"/>
    <w:rsid w:val="00C7333E"/>
    <w:rsid w:val="00C77437"/>
    <w:rsid w:val="00C85E1B"/>
    <w:rsid w:val="00C915A4"/>
    <w:rsid w:val="00C957A1"/>
    <w:rsid w:val="00C95D50"/>
    <w:rsid w:val="00C969BB"/>
    <w:rsid w:val="00CA1142"/>
    <w:rsid w:val="00CA3D1A"/>
    <w:rsid w:val="00CA48A7"/>
    <w:rsid w:val="00CA4CDC"/>
    <w:rsid w:val="00CA600C"/>
    <w:rsid w:val="00CA6770"/>
    <w:rsid w:val="00CB1BB9"/>
    <w:rsid w:val="00CB1E87"/>
    <w:rsid w:val="00CB2830"/>
    <w:rsid w:val="00CB29D4"/>
    <w:rsid w:val="00CB4C8B"/>
    <w:rsid w:val="00CB5892"/>
    <w:rsid w:val="00CC0312"/>
    <w:rsid w:val="00CC2066"/>
    <w:rsid w:val="00CC4639"/>
    <w:rsid w:val="00CC5142"/>
    <w:rsid w:val="00CC5B0E"/>
    <w:rsid w:val="00CD2CB9"/>
    <w:rsid w:val="00CD2EFD"/>
    <w:rsid w:val="00CD42B9"/>
    <w:rsid w:val="00CD498D"/>
    <w:rsid w:val="00CE6871"/>
    <w:rsid w:val="00CF0BAB"/>
    <w:rsid w:val="00CF50E9"/>
    <w:rsid w:val="00CF7B05"/>
    <w:rsid w:val="00D031FD"/>
    <w:rsid w:val="00D0385B"/>
    <w:rsid w:val="00D0643B"/>
    <w:rsid w:val="00D1044A"/>
    <w:rsid w:val="00D14FA8"/>
    <w:rsid w:val="00D14FB8"/>
    <w:rsid w:val="00D178A1"/>
    <w:rsid w:val="00D23A4D"/>
    <w:rsid w:val="00D2707A"/>
    <w:rsid w:val="00D306A6"/>
    <w:rsid w:val="00D31A61"/>
    <w:rsid w:val="00D33048"/>
    <w:rsid w:val="00D432DD"/>
    <w:rsid w:val="00D454D8"/>
    <w:rsid w:val="00D532AA"/>
    <w:rsid w:val="00D6097F"/>
    <w:rsid w:val="00D6614E"/>
    <w:rsid w:val="00D71FB8"/>
    <w:rsid w:val="00D7467E"/>
    <w:rsid w:val="00D75138"/>
    <w:rsid w:val="00D8369A"/>
    <w:rsid w:val="00D850AB"/>
    <w:rsid w:val="00D86CC1"/>
    <w:rsid w:val="00D871B7"/>
    <w:rsid w:val="00D87B90"/>
    <w:rsid w:val="00D9229B"/>
    <w:rsid w:val="00D92406"/>
    <w:rsid w:val="00D95944"/>
    <w:rsid w:val="00D968E5"/>
    <w:rsid w:val="00DA132E"/>
    <w:rsid w:val="00DA28D1"/>
    <w:rsid w:val="00DA634A"/>
    <w:rsid w:val="00DB602D"/>
    <w:rsid w:val="00DC200B"/>
    <w:rsid w:val="00DD39E5"/>
    <w:rsid w:val="00DD3FD1"/>
    <w:rsid w:val="00DD6AFD"/>
    <w:rsid w:val="00DE440D"/>
    <w:rsid w:val="00DE4A2A"/>
    <w:rsid w:val="00DE6369"/>
    <w:rsid w:val="00DF0DF1"/>
    <w:rsid w:val="00DF72E2"/>
    <w:rsid w:val="00E01044"/>
    <w:rsid w:val="00E03031"/>
    <w:rsid w:val="00E10C22"/>
    <w:rsid w:val="00E11B86"/>
    <w:rsid w:val="00E12C60"/>
    <w:rsid w:val="00E14F7E"/>
    <w:rsid w:val="00E202B8"/>
    <w:rsid w:val="00E22B03"/>
    <w:rsid w:val="00E2331F"/>
    <w:rsid w:val="00E24FE1"/>
    <w:rsid w:val="00E25993"/>
    <w:rsid w:val="00E332F6"/>
    <w:rsid w:val="00E345D8"/>
    <w:rsid w:val="00E35822"/>
    <w:rsid w:val="00E45323"/>
    <w:rsid w:val="00E5012C"/>
    <w:rsid w:val="00E635F5"/>
    <w:rsid w:val="00E7018C"/>
    <w:rsid w:val="00E72E76"/>
    <w:rsid w:val="00E759BC"/>
    <w:rsid w:val="00E81BF5"/>
    <w:rsid w:val="00E8712A"/>
    <w:rsid w:val="00E87207"/>
    <w:rsid w:val="00EA05B8"/>
    <w:rsid w:val="00EA4F33"/>
    <w:rsid w:val="00EA5DA3"/>
    <w:rsid w:val="00EA7B27"/>
    <w:rsid w:val="00EB4D9A"/>
    <w:rsid w:val="00EC0601"/>
    <w:rsid w:val="00EC0FD0"/>
    <w:rsid w:val="00EC499E"/>
    <w:rsid w:val="00ED747E"/>
    <w:rsid w:val="00EE2406"/>
    <w:rsid w:val="00EE3EC1"/>
    <w:rsid w:val="00EE5FAE"/>
    <w:rsid w:val="00EE6889"/>
    <w:rsid w:val="00EE7A6A"/>
    <w:rsid w:val="00EF039A"/>
    <w:rsid w:val="00EF078F"/>
    <w:rsid w:val="00EF2705"/>
    <w:rsid w:val="00EF4C2C"/>
    <w:rsid w:val="00EF7957"/>
    <w:rsid w:val="00EF7974"/>
    <w:rsid w:val="00F001EB"/>
    <w:rsid w:val="00F10CD1"/>
    <w:rsid w:val="00F114C7"/>
    <w:rsid w:val="00F11B8C"/>
    <w:rsid w:val="00F11BF0"/>
    <w:rsid w:val="00F1495F"/>
    <w:rsid w:val="00F17D1D"/>
    <w:rsid w:val="00F20EBC"/>
    <w:rsid w:val="00F23F5B"/>
    <w:rsid w:val="00F26B7F"/>
    <w:rsid w:val="00F36C95"/>
    <w:rsid w:val="00F5152D"/>
    <w:rsid w:val="00F527A5"/>
    <w:rsid w:val="00F5419D"/>
    <w:rsid w:val="00F57475"/>
    <w:rsid w:val="00F62178"/>
    <w:rsid w:val="00F63707"/>
    <w:rsid w:val="00F65944"/>
    <w:rsid w:val="00F77AB4"/>
    <w:rsid w:val="00F80BCD"/>
    <w:rsid w:val="00F82D9C"/>
    <w:rsid w:val="00F84506"/>
    <w:rsid w:val="00F86C29"/>
    <w:rsid w:val="00F93EC0"/>
    <w:rsid w:val="00F940AC"/>
    <w:rsid w:val="00F95DA7"/>
    <w:rsid w:val="00F976C9"/>
    <w:rsid w:val="00FB398A"/>
    <w:rsid w:val="00FB7B4C"/>
    <w:rsid w:val="00FC13CA"/>
    <w:rsid w:val="00FC734A"/>
    <w:rsid w:val="00FC7837"/>
    <w:rsid w:val="00FD4451"/>
    <w:rsid w:val="00FD4DCD"/>
    <w:rsid w:val="00FD4E9E"/>
    <w:rsid w:val="00FF0655"/>
    <w:rsid w:val="00FF0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1E98"/>
  <w15:docId w15:val="{66651774-195A-4BA7-948B-F02E2D7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BD"/>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2F09BD"/>
    <w:pPr>
      <w:keepNext/>
      <w:numPr>
        <w:numId w:val="1"/>
      </w:numPr>
      <w:spacing w:before="360"/>
      <w:outlineLvl w:val="0"/>
    </w:pPr>
    <w:rPr>
      <w:rFonts w:eastAsia="Times New Roman" w:cs="Arial"/>
      <w:b/>
      <w:bCs/>
      <w:color w:val="003366"/>
      <w:sz w:val="28"/>
      <w:szCs w:val="24"/>
      <w:lang w:val="en-GB"/>
    </w:rPr>
  </w:style>
  <w:style w:type="paragraph" w:styleId="Heading2">
    <w:name w:val="heading 2"/>
    <w:basedOn w:val="Normal"/>
    <w:next w:val="Normal"/>
    <w:link w:val="Heading2Char"/>
    <w:uiPriority w:val="99"/>
    <w:qFormat/>
    <w:rsid w:val="002F09BD"/>
    <w:pPr>
      <w:keepNext/>
      <w:numPr>
        <w:ilvl w:val="1"/>
        <w:numId w:val="1"/>
      </w:numPr>
      <w:autoSpaceDE w:val="0"/>
      <w:autoSpaceDN w:val="0"/>
      <w:adjustRightInd w:val="0"/>
      <w:jc w:val="both"/>
      <w:outlineLvl w:val="1"/>
    </w:pPr>
    <w:rPr>
      <w:rFonts w:eastAsia="Times New Roman" w:cs="Arial"/>
      <w:b/>
      <w:bCs/>
      <w:color w:val="003366"/>
      <w:sz w:val="24"/>
      <w:lang w:val="en-GB"/>
    </w:rPr>
  </w:style>
  <w:style w:type="paragraph" w:styleId="Heading3">
    <w:name w:val="heading 3"/>
    <w:basedOn w:val="Heading2"/>
    <w:next w:val="Normal"/>
    <w:link w:val="Heading3Char"/>
    <w:uiPriority w:val="99"/>
    <w:qFormat/>
    <w:rsid w:val="002F09BD"/>
    <w:pPr>
      <w:numPr>
        <w:ilvl w:val="2"/>
      </w:numPr>
      <w:tabs>
        <w:tab w:val="left" w:pos="2160"/>
      </w:tabs>
      <w:spacing w:after="120"/>
      <w:outlineLvl w:val="2"/>
    </w:pPr>
    <w:rPr>
      <w:i/>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9BD"/>
    <w:rPr>
      <w:rFonts w:eastAsia="Times New Roman" w:cs="Arial"/>
      <w:b/>
      <w:bCs/>
      <w:color w:val="003366"/>
      <w:sz w:val="28"/>
      <w:szCs w:val="24"/>
      <w:lang w:eastAsia="en-US"/>
    </w:rPr>
  </w:style>
  <w:style w:type="character" w:customStyle="1" w:styleId="Heading2Char">
    <w:name w:val="Heading 2 Char"/>
    <w:basedOn w:val="DefaultParagraphFont"/>
    <w:link w:val="Heading2"/>
    <w:uiPriority w:val="99"/>
    <w:rsid w:val="002F09BD"/>
    <w:rPr>
      <w:rFonts w:ascii="Calibri" w:eastAsia="Times New Roman" w:hAnsi="Calibri" w:cs="Arial"/>
      <w:b/>
      <w:bCs/>
      <w:color w:val="003366"/>
      <w:sz w:val="24"/>
      <w:lang w:val="en-GB"/>
    </w:rPr>
  </w:style>
  <w:style w:type="character" w:customStyle="1" w:styleId="Heading3Char">
    <w:name w:val="Heading 3 Char"/>
    <w:basedOn w:val="DefaultParagraphFont"/>
    <w:link w:val="Heading3"/>
    <w:uiPriority w:val="99"/>
    <w:rsid w:val="002F09BD"/>
    <w:rPr>
      <w:rFonts w:ascii="Calibri" w:eastAsia="Times New Roman" w:hAnsi="Calibri" w:cs="Arial"/>
      <w:b/>
      <w:bCs/>
      <w:i/>
      <w:color w:val="003366"/>
      <w:szCs w:val="20"/>
      <w:lang w:val="en-GB"/>
    </w:rPr>
  </w:style>
  <w:style w:type="paragraph" w:styleId="Header">
    <w:name w:val="header"/>
    <w:basedOn w:val="Normal"/>
    <w:link w:val="HeaderChar"/>
    <w:uiPriority w:val="99"/>
    <w:rsid w:val="002F09BD"/>
    <w:pPr>
      <w:tabs>
        <w:tab w:val="center" w:pos="4320"/>
        <w:tab w:val="right" w:pos="8640"/>
      </w:tabs>
      <w:spacing w:after="0" w:line="240" w:lineRule="auto"/>
      <w:jc w:val="both"/>
    </w:pPr>
    <w:rPr>
      <w:rFonts w:eastAsia="Times New Roman" w:cs="Arial"/>
      <w:b/>
      <w:color w:val="FFCC00"/>
      <w:szCs w:val="24"/>
      <w:lang w:val="en-GB"/>
    </w:rPr>
  </w:style>
  <w:style w:type="character" w:customStyle="1" w:styleId="HeaderChar">
    <w:name w:val="Header Char"/>
    <w:basedOn w:val="DefaultParagraphFont"/>
    <w:link w:val="Header"/>
    <w:uiPriority w:val="99"/>
    <w:rsid w:val="002F09BD"/>
    <w:rPr>
      <w:rFonts w:ascii="Calibri" w:eastAsia="Times New Roman" w:hAnsi="Calibri" w:cs="Arial"/>
      <w:b/>
      <w:color w:val="FFCC00"/>
      <w:szCs w:val="24"/>
      <w:lang w:val="en-GB"/>
    </w:rPr>
  </w:style>
  <w:style w:type="paragraph" w:styleId="Footer">
    <w:name w:val="footer"/>
    <w:basedOn w:val="Normal"/>
    <w:link w:val="FooterChar"/>
    <w:uiPriority w:val="99"/>
    <w:rsid w:val="002F09BD"/>
    <w:pPr>
      <w:tabs>
        <w:tab w:val="center" w:pos="4320"/>
        <w:tab w:val="right" w:pos="8640"/>
      </w:tabs>
      <w:jc w:val="both"/>
    </w:pPr>
    <w:rPr>
      <w:rFonts w:ascii="Arial" w:eastAsia="Times New Roman" w:hAnsi="Arial" w:cs="Arial"/>
      <w:szCs w:val="24"/>
      <w:lang w:val="en-GB"/>
    </w:rPr>
  </w:style>
  <w:style w:type="character" w:customStyle="1" w:styleId="FooterChar">
    <w:name w:val="Footer Char"/>
    <w:basedOn w:val="DefaultParagraphFont"/>
    <w:link w:val="Footer"/>
    <w:uiPriority w:val="99"/>
    <w:rsid w:val="002F09BD"/>
    <w:rPr>
      <w:rFonts w:ascii="Arial" w:eastAsia="Times New Roman" w:hAnsi="Arial" w:cs="Arial"/>
      <w:szCs w:val="24"/>
      <w:lang w:val="en-GB"/>
    </w:rPr>
  </w:style>
  <w:style w:type="character" w:styleId="PageNumber">
    <w:name w:val="page number"/>
    <w:basedOn w:val="DefaultParagraphFont"/>
    <w:uiPriority w:val="99"/>
    <w:rsid w:val="002F09BD"/>
    <w:rPr>
      <w:rFonts w:ascii="Calibri" w:hAnsi="Calibri"/>
      <w:sz w:val="18"/>
    </w:rPr>
  </w:style>
  <w:style w:type="paragraph" w:styleId="Title">
    <w:name w:val="Title"/>
    <w:basedOn w:val="Normal"/>
    <w:link w:val="TitleChar"/>
    <w:uiPriority w:val="99"/>
    <w:qFormat/>
    <w:rsid w:val="002F09BD"/>
    <w:pPr>
      <w:shd w:val="pct10" w:color="auto" w:fill="auto"/>
      <w:tabs>
        <w:tab w:val="center" w:pos="4320"/>
      </w:tabs>
      <w:spacing w:before="240"/>
    </w:pPr>
    <w:rPr>
      <w:rFonts w:eastAsia="Times New Roman" w:cs="Arial"/>
      <w:b/>
      <w:bCs/>
      <w:sz w:val="32"/>
      <w:szCs w:val="24"/>
      <w:lang w:val="sq-AL"/>
    </w:rPr>
  </w:style>
  <w:style w:type="character" w:customStyle="1" w:styleId="TitleChar">
    <w:name w:val="Title Char"/>
    <w:basedOn w:val="DefaultParagraphFont"/>
    <w:link w:val="Title"/>
    <w:uiPriority w:val="99"/>
    <w:rsid w:val="002F09BD"/>
    <w:rPr>
      <w:rFonts w:ascii="Calibri" w:eastAsia="Times New Roman" w:hAnsi="Calibri" w:cs="Arial"/>
      <w:b/>
      <w:bCs/>
      <w:sz w:val="32"/>
      <w:szCs w:val="24"/>
      <w:shd w:val="pct10" w:color="auto" w:fill="auto"/>
      <w:lang w:val="sq-AL"/>
    </w:rPr>
  </w:style>
  <w:style w:type="paragraph" w:styleId="Caption">
    <w:name w:val="caption"/>
    <w:aliases w:val="Tabellen"/>
    <w:basedOn w:val="Normal"/>
    <w:next w:val="Normal"/>
    <w:uiPriority w:val="35"/>
    <w:qFormat/>
    <w:rsid w:val="002F09BD"/>
    <w:pPr>
      <w:keepNext/>
      <w:jc w:val="both"/>
    </w:pPr>
    <w:rPr>
      <w:rFonts w:eastAsia="Times New Roman" w:cs="Arial"/>
      <w:b/>
      <w:bCs/>
      <w:i/>
      <w:color w:val="003366"/>
      <w:szCs w:val="24"/>
      <w:lang w:val="en-GB"/>
    </w:rPr>
  </w:style>
  <w:style w:type="paragraph" w:styleId="FootnoteText">
    <w:name w:val="footnote text"/>
    <w:basedOn w:val="Normal"/>
    <w:link w:val="FootnoteTextChar"/>
    <w:uiPriority w:val="99"/>
    <w:rsid w:val="002F09BD"/>
    <w:pPr>
      <w:jc w:val="both"/>
    </w:pPr>
    <w:rPr>
      <w:rFonts w:eastAsia="Times New Roman" w:cs="Arial"/>
      <w:sz w:val="20"/>
      <w:szCs w:val="24"/>
      <w:lang w:val="en-GB"/>
    </w:rPr>
  </w:style>
  <w:style w:type="character" w:customStyle="1" w:styleId="FootnoteTextChar">
    <w:name w:val="Footnote Text Char"/>
    <w:basedOn w:val="DefaultParagraphFont"/>
    <w:link w:val="FootnoteText"/>
    <w:uiPriority w:val="99"/>
    <w:rsid w:val="002F09BD"/>
    <w:rPr>
      <w:rFonts w:ascii="Calibri" w:eastAsia="Times New Roman" w:hAnsi="Calibri" w:cs="Arial"/>
      <w:sz w:val="20"/>
      <w:szCs w:val="24"/>
      <w:lang w:val="en-GB"/>
    </w:rPr>
  </w:style>
  <w:style w:type="character" w:styleId="FootnoteReference">
    <w:name w:val="footnote reference"/>
    <w:basedOn w:val="DefaultParagraphFont"/>
    <w:uiPriority w:val="99"/>
    <w:rsid w:val="002F09BD"/>
    <w:rPr>
      <w:vertAlign w:val="superscript"/>
    </w:rPr>
  </w:style>
  <w:style w:type="character" w:styleId="Hyperlink">
    <w:name w:val="Hyperlink"/>
    <w:basedOn w:val="DefaultParagraphFont"/>
    <w:uiPriority w:val="99"/>
    <w:rsid w:val="002F09BD"/>
    <w:rPr>
      <w:color w:val="0000FF"/>
      <w:u w:val="single"/>
    </w:rPr>
  </w:style>
  <w:style w:type="paragraph" w:styleId="ListBullet">
    <w:name w:val="List Bullet"/>
    <w:basedOn w:val="Normal"/>
    <w:uiPriority w:val="99"/>
    <w:rsid w:val="002F09BD"/>
    <w:pPr>
      <w:numPr>
        <w:numId w:val="3"/>
      </w:numPr>
      <w:tabs>
        <w:tab w:val="clear" w:pos="360"/>
        <w:tab w:val="num" w:pos="720"/>
      </w:tabs>
      <w:ind w:left="720"/>
      <w:jc w:val="both"/>
    </w:pPr>
    <w:rPr>
      <w:rFonts w:eastAsia="Times New Roman" w:cs="Arial"/>
      <w:szCs w:val="24"/>
      <w:lang w:val="en-GB"/>
    </w:rPr>
  </w:style>
  <w:style w:type="paragraph" w:styleId="TOC1">
    <w:name w:val="toc 1"/>
    <w:basedOn w:val="Normal"/>
    <w:next w:val="Normal"/>
    <w:autoRedefine/>
    <w:uiPriority w:val="39"/>
    <w:rsid w:val="002F09BD"/>
    <w:pPr>
      <w:spacing w:before="200"/>
      <w:jc w:val="both"/>
    </w:pPr>
    <w:rPr>
      <w:rFonts w:eastAsia="Times New Roman" w:cs="Arial"/>
      <w:b/>
      <w:szCs w:val="24"/>
      <w:lang w:val="en-GB"/>
    </w:rPr>
  </w:style>
  <w:style w:type="paragraph" w:styleId="TOC2">
    <w:name w:val="toc 2"/>
    <w:basedOn w:val="Normal"/>
    <w:next w:val="Normal"/>
    <w:autoRedefine/>
    <w:uiPriority w:val="39"/>
    <w:rsid w:val="002F09BD"/>
    <w:pPr>
      <w:spacing w:after="100"/>
      <w:ind w:left="245"/>
      <w:jc w:val="both"/>
    </w:pPr>
    <w:rPr>
      <w:rFonts w:eastAsia="Times New Roman" w:cs="Arial"/>
      <w:szCs w:val="24"/>
      <w:lang w:val="en-GB"/>
    </w:rPr>
  </w:style>
  <w:style w:type="paragraph" w:styleId="ListParagraph">
    <w:name w:val="List Paragraph"/>
    <w:basedOn w:val="Normal"/>
    <w:uiPriority w:val="34"/>
    <w:qFormat/>
    <w:rsid w:val="002F09BD"/>
    <w:pPr>
      <w:ind w:left="720"/>
      <w:contextualSpacing/>
      <w:jc w:val="both"/>
    </w:pPr>
    <w:rPr>
      <w:rFonts w:eastAsia="Times New Roman" w:cs="Arial"/>
      <w:szCs w:val="24"/>
      <w:lang w:val="en-GB"/>
    </w:rPr>
  </w:style>
  <w:style w:type="paragraph" w:customStyle="1" w:styleId="TextS">
    <w:name w:val="TextS"/>
    <w:basedOn w:val="Normal"/>
    <w:link w:val="TextSChar"/>
    <w:qFormat/>
    <w:rsid w:val="002F09BD"/>
    <w:pPr>
      <w:spacing w:before="240" w:after="240" w:line="240" w:lineRule="auto"/>
      <w:ind w:left="720" w:hanging="720"/>
    </w:pPr>
    <w:rPr>
      <w:rFonts w:eastAsia="Times New Roman"/>
      <w:szCs w:val="24"/>
      <w:lang w:val="en-AU" w:eastAsia="en-GB"/>
    </w:rPr>
  </w:style>
  <w:style w:type="character" w:customStyle="1" w:styleId="TextSChar">
    <w:name w:val="TextS Char"/>
    <w:basedOn w:val="DefaultParagraphFont"/>
    <w:link w:val="TextS"/>
    <w:rsid w:val="002F09BD"/>
    <w:rPr>
      <w:rFonts w:ascii="Calibri" w:eastAsia="Times New Roman" w:hAnsi="Calibri" w:cs="Times New Roman"/>
      <w:szCs w:val="24"/>
      <w:lang w:val="en-AU" w:eastAsia="en-GB"/>
    </w:rPr>
  </w:style>
  <w:style w:type="paragraph" w:customStyle="1" w:styleId="Equation">
    <w:name w:val="Equation"/>
    <w:basedOn w:val="TextS"/>
    <w:link w:val="EquationChar"/>
    <w:qFormat/>
    <w:rsid w:val="002F09BD"/>
    <w:pPr>
      <w:ind w:left="2160" w:hanging="1440"/>
    </w:pPr>
    <w:rPr>
      <w:i/>
      <w:lang w:val="en-GB"/>
    </w:rPr>
  </w:style>
  <w:style w:type="character" w:customStyle="1" w:styleId="EquationChar">
    <w:name w:val="Equation Char"/>
    <w:basedOn w:val="TextSChar"/>
    <w:link w:val="Equation"/>
    <w:rsid w:val="002F09BD"/>
    <w:rPr>
      <w:rFonts w:ascii="Calibri" w:eastAsia="Times New Roman" w:hAnsi="Calibri" w:cs="Times New Roman"/>
      <w:i/>
      <w:szCs w:val="24"/>
      <w:lang w:val="en-GB" w:eastAsia="en-GB"/>
    </w:rPr>
  </w:style>
  <w:style w:type="paragraph" w:customStyle="1" w:styleId="ParagraphNumbering">
    <w:name w:val="Paragraph Numbering"/>
    <w:basedOn w:val="Normal"/>
    <w:rsid w:val="002F09BD"/>
    <w:pPr>
      <w:numPr>
        <w:numId w:val="6"/>
      </w:numPr>
      <w:jc w:val="both"/>
    </w:pPr>
    <w:rPr>
      <w:rFonts w:cs="Arial"/>
      <w:szCs w:val="20"/>
      <w:lang w:val="en-GB"/>
    </w:rPr>
  </w:style>
  <w:style w:type="paragraph" w:styleId="TOC3">
    <w:name w:val="toc 3"/>
    <w:basedOn w:val="Normal"/>
    <w:next w:val="Normal"/>
    <w:autoRedefine/>
    <w:uiPriority w:val="39"/>
    <w:unhideWhenUsed/>
    <w:rsid w:val="00F93EC0"/>
    <w:pPr>
      <w:spacing w:after="100"/>
      <w:ind w:left="440"/>
    </w:pPr>
  </w:style>
  <w:style w:type="character" w:styleId="FollowedHyperlink">
    <w:name w:val="FollowedHyperlink"/>
    <w:basedOn w:val="DefaultParagraphFont"/>
    <w:uiPriority w:val="99"/>
    <w:semiHidden/>
    <w:unhideWhenUsed/>
    <w:rsid w:val="00265E2C"/>
    <w:rPr>
      <w:color w:val="954F72"/>
      <w:u w:val="single"/>
    </w:rPr>
  </w:style>
  <w:style w:type="paragraph" w:styleId="BalloonText">
    <w:name w:val="Balloon Text"/>
    <w:basedOn w:val="Normal"/>
    <w:link w:val="BalloonTextChar"/>
    <w:uiPriority w:val="99"/>
    <w:semiHidden/>
    <w:unhideWhenUsed/>
    <w:rsid w:val="006D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6B"/>
    <w:rPr>
      <w:rFonts w:ascii="Tahoma" w:hAnsi="Tahoma" w:cs="Tahoma"/>
      <w:sz w:val="16"/>
      <w:szCs w:val="16"/>
    </w:rPr>
  </w:style>
  <w:style w:type="character" w:styleId="CommentReference">
    <w:name w:val="annotation reference"/>
    <w:basedOn w:val="DefaultParagraphFont"/>
    <w:unhideWhenUsed/>
    <w:rsid w:val="00E87207"/>
    <w:rPr>
      <w:sz w:val="16"/>
      <w:szCs w:val="16"/>
    </w:rPr>
  </w:style>
  <w:style w:type="paragraph" w:styleId="CommentText">
    <w:name w:val="annotation text"/>
    <w:basedOn w:val="Normal"/>
    <w:link w:val="CommentTextChar"/>
    <w:uiPriority w:val="99"/>
    <w:semiHidden/>
    <w:unhideWhenUsed/>
    <w:rsid w:val="00E87207"/>
    <w:pPr>
      <w:spacing w:line="240" w:lineRule="auto"/>
    </w:pPr>
    <w:rPr>
      <w:sz w:val="20"/>
      <w:szCs w:val="20"/>
    </w:rPr>
  </w:style>
  <w:style w:type="character" w:customStyle="1" w:styleId="CommentTextChar">
    <w:name w:val="Comment Text Char"/>
    <w:basedOn w:val="DefaultParagraphFont"/>
    <w:link w:val="CommentText"/>
    <w:uiPriority w:val="99"/>
    <w:semiHidden/>
    <w:rsid w:val="00E87207"/>
    <w:rPr>
      <w:sz w:val="20"/>
      <w:szCs w:val="20"/>
    </w:rPr>
  </w:style>
  <w:style w:type="paragraph" w:styleId="CommentSubject">
    <w:name w:val="annotation subject"/>
    <w:basedOn w:val="CommentText"/>
    <w:next w:val="CommentText"/>
    <w:link w:val="CommentSubjectChar"/>
    <w:uiPriority w:val="99"/>
    <w:semiHidden/>
    <w:unhideWhenUsed/>
    <w:rsid w:val="00E87207"/>
    <w:rPr>
      <w:b/>
      <w:bCs/>
    </w:rPr>
  </w:style>
  <w:style w:type="character" w:customStyle="1" w:styleId="CommentSubjectChar">
    <w:name w:val="Comment Subject Char"/>
    <w:basedOn w:val="CommentTextChar"/>
    <w:link w:val="CommentSubject"/>
    <w:uiPriority w:val="99"/>
    <w:semiHidden/>
    <w:rsid w:val="00E87207"/>
    <w:rPr>
      <w:b/>
      <w:bCs/>
      <w:sz w:val="20"/>
      <w:szCs w:val="20"/>
    </w:rPr>
  </w:style>
  <w:style w:type="paragraph" w:customStyle="1" w:styleId="ReportTitle">
    <w:name w:val="Report Title"/>
    <w:basedOn w:val="Title"/>
    <w:link w:val="ReportTitleChar"/>
    <w:qFormat/>
    <w:rsid w:val="00417A40"/>
    <w:pPr>
      <w:shd w:val="clear" w:color="auto" w:fill="005D97"/>
      <w:spacing w:before="0" w:after="0"/>
      <w:jc w:val="center"/>
    </w:pPr>
    <w:rPr>
      <w:color w:val="8064A2"/>
      <w:sz w:val="48"/>
      <w:szCs w:val="40"/>
      <w:lang w:val="en-US"/>
    </w:rPr>
  </w:style>
  <w:style w:type="paragraph" w:customStyle="1" w:styleId="ReportSubTitle">
    <w:name w:val="Report SubTitle"/>
    <w:basedOn w:val="Title"/>
    <w:link w:val="ReportSubTitleChar"/>
    <w:qFormat/>
    <w:rsid w:val="00417A40"/>
    <w:pPr>
      <w:shd w:val="clear" w:color="auto" w:fill="005D97"/>
      <w:spacing w:before="0" w:after="0"/>
      <w:jc w:val="center"/>
    </w:pPr>
    <w:rPr>
      <w:color w:val="8064A2"/>
      <w:sz w:val="28"/>
      <w:lang w:val="en-US"/>
    </w:rPr>
  </w:style>
  <w:style w:type="character" w:customStyle="1" w:styleId="ReportTitleChar">
    <w:name w:val="Report Title Char"/>
    <w:basedOn w:val="TitleChar"/>
    <w:link w:val="ReportTitle"/>
    <w:rsid w:val="00417A40"/>
    <w:rPr>
      <w:rFonts w:ascii="Calibri" w:eastAsia="Times New Roman" w:hAnsi="Calibri" w:cs="Arial"/>
      <w:b/>
      <w:bCs/>
      <w:color w:val="8064A2"/>
      <w:sz w:val="48"/>
      <w:szCs w:val="40"/>
      <w:shd w:val="clear" w:color="auto" w:fill="005D97"/>
      <w:lang w:val="sq-AL"/>
    </w:rPr>
  </w:style>
  <w:style w:type="character" w:customStyle="1" w:styleId="ReportSubTitleChar">
    <w:name w:val="Report SubTitle Char"/>
    <w:basedOn w:val="TitleChar"/>
    <w:link w:val="ReportSubTitle"/>
    <w:rsid w:val="00417A40"/>
    <w:rPr>
      <w:rFonts w:ascii="Calibri" w:eastAsia="Times New Roman" w:hAnsi="Calibri" w:cs="Arial"/>
      <w:b/>
      <w:bCs/>
      <w:color w:val="8064A2"/>
      <w:sz w:val="28"/>
      <w:szCs w:val="24"/>
      <w:shd w:val="clear" w:color="auto" w:fill="005D97"/>
      <w:lang w:val="sq-AL"/>
    </w:rPr>
  </w:style>
  <w:style w:type="paragraph" w:customStyle="1" w:styleId="HeadingS">
    <w:name w:val="Heading S"/>
    <w:basedOn w:val="Heading1"/>
    <w:next w:val="TextS"/>
    <w:qFormat/>
    <w:rsid w:val="00417A40"/>
    <w:pPr>
      <w:pageBreakBefore/>
      <w:numPr>
        <w:numId w:val="0"/>
      </w:numPr>
      <w:spacing w:before="480" w:after="480" w:line="312" w:lineRule="auto"/>
      <w:ind w:left="360" w:hanging="360"/>
      <w:jc w:val="center"/>
    </w:pPr>
    <w:rPr>
      <w:rFonts w:cs="Times New Roman"/>
      <w:bCs w:val="0"/>
      <w:caps/>
      <w:color w:val="auto"/>
      <w:sz w:val="22"/>
      <w:szCs w:val="22"/>
      <w:lang w:val="en-AU" w:eastAsia="en-GB"/>
    </w:rPr>
  </w:style>
  <w:style w:type="paragraph" w:styleId="Date">
    <w:name w:val="Date"/>
    <w:basedOn w:val="Normal"/>
    <w:next w:val="Normal"/>
    <w:link w:val="DateChar"/>
    <w:uiPriority w:val="99"/>
    <w:semiHidden/>
    <w:unhideWhenUsed/>
    <w:rsid w:val="00417A40"/>
  </w:style>
  <w:style w:type="character" w:customStyle="1" w:styleId="DateChar">
    <w:name w:val="Date Char"/>
    <w:basedOn w:val="DefaultParagraphFont"/>
    <w:link w:val="Date"/>
    <w:uiPriority w:val="99"/>
    <w:semiHidden/>
    <w:rsid w:val="00417A40"/>
    <w:rPr>
      <w:rFonts w:ascii="Calibri" w:eastAsia="Calibri" w:hAnsi="Calibri" w:cs="Times New Roman"/>
      <w:sz w:val="22"/>
      <w:szCs w:val="22"/>
    </w:rPr>
  </w:style>
  <w:style w:type="paragraph" w:customStyle="1" w:styleId="ReportDate">
    <w:name w:val="Report Date"/>
    <w:basedOn w:val="Normal"/>
    <w:link w:val="ReportDateChar"/>
    <w:qFormat/>
    <w:rsid w:val="00417A40"/>
    <w:pPr>
      <w:tabs>
        <w:tab w:val="left" w:pos="2175"/>
      </w:tabs>
      <w:jc w:val="center"/>
    </w:pPr>
    <w:rPr>
      <w:b/>
      <w:bCs/>
      <w:color w:val="005D97"/>
      <w:sz w:val="36"/>
      <w:szCs w:val="36"/>
    </w:rPr>
  </w:style>
  <w:style w:type="character" w:customStyle="1" w:styleId="ReportDateChar">
    <w:name w:val="Report Date Char"/>
    <w:basedOn w:val="DefaultParagraphFont"/>
    <w:link w:val="ReportDate"/>
    <w:rsid w:val="00417A40"/>
    <w:rPr>
      <w:rFonts w:ascii="Calibri" w:eastAsia="Calibri" w:hAnsi="Calibri" w:cs="Times New Roman"/>
      <w:b/>
      <w:bCs/>
      <w:color w:val="005D97"/>
      <w:sz w:val="36"/>
      <w:szCs w:val="36"/>
    </w:rPr>
  </w:style>
  <w:style w:type="paragraph" w:customStyle="1" w:styleId="font5">
    <w:name w:val="font5"/>
    <w:basedOn w:val="Normal"/>
    <w:rsid w:val="00417A40"/>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6">
    <w:name w:val="font6"/>
    <w:basedOn w:val="Normal"/>
    <w:rsid w:val="00417A40"/>
    <w:pPr>
      <w:spacing w:before="100" w:beforeAutospacing="1" w:after="100" w:afterAutospacing="1" w:line="240" w:lineRule="auto"/>
    </w:pPr>
    <w:rPr>
      <w:rFonts w:ascii="Corbel" w:eastAsia="Times New Roman" w:hAnsi="Corbel"/>
      <w:sz w:val="16"/>
      <w:szCs w:val="16"/>
      <w:lang w:val="en-GB" w:eastAsia="en-GB"/>
    </w:rPr>
  </w:style>
  <w:style w:type="paragraph" w:customStyle="1" w:styleId="font7">
    <w:name w:val="font7"/>
    <w:basedOn w:val="Normal"/>
    <w:rsid w:val="00417A40"/>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8">
    <w:name w:val="font8"/>
    <w:basedOn w:val="Normal"/>
    <w:rsid w:val="00417A40"/>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9">
    <w:name w:val="font9"/>
    <w:basedOn w:val="Normal"/>
    <w:rsid w:val="00417A40"/>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10">
    <w:name w:val="font10"/>
    <w:basedOn w:val="Normal"/>
    <w:rsid w:val="00417A40"/>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1">
    <w:name w:val="font11"/>
    <w:basedOn w:val="Normal"/>
    <w:rsid w:val="00417A40"/>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2">
    <w:name w:val="font12"/>
    <w:basedOn w:val="Normal"/>
    <w:rsid w:val="00417A40"/>
    <w:pPr>
      <w:spacing w:before="100" w:beforeAutospacing="1" w:after="100" w:afterAutospacing="1" w:line="240" w:lineRule="auto"/>
    </w:pPr>
    <w:rPr>
      <w:rFonts w:eastAsia="Times New Roman"/>
      <w:sz w:val="16"/>
      <w:szCs w:val="16"/>
      <w:lang w:val="en-GB" w:eastAsia="en-GB"/>
    </w:rPr>
  </w:style>
  <w:style w:type="paragraph" w:customStyle="1" w:styleId="xl280">
    <w:name w:val="xl280"/>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1">
    <w:name w:val="xl281"/>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2">
    <w:name w:val="xl282"/>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3">
    <w:name w:val="xl283"/>
    <w:basedOn w:val="Normal"/>
    <w:rsid w:val="00417A40"/>
    <w:pPr>
      <w:shd w:val="clear" w:color="000000" w:fill="FFFFFF"/>
      <w:spacing w:before="100" w:beforeAutospacing="1" w:after="100" w:afterAutospacing="1" w:line="240" w:lineRule="auto"/>
      <w:jc w:val="center"/>
    </w:pPr>
    <w:rPr>
      <w:rFonts w:ascii="Corbel" w:eastAsia="Times New Roman" w:hAnsi="Corbel"/>
      <w:sz w:val="16"/>
      <w:szCs w:val="16"/>
      <w:lang w:val="en-GB" w:eastAsia="en-GB"/>
    </w:rPr>
  </w:style>
  <w:style w:type="paragraph" w:customStyle="1" w:styleId="xl284">
    <w:name w:val="xl284"/>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5">
    <w:name w:val="xl285"/>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6">
    <w:name w:val="xl286"/>
    <w:basedOn w:val="Normal"/>
    <w:rsid w:val="00417A40"/>
    <w:pPr>
      <w:pBdr>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7">
    <w:name w:val="xl287"/>
    <w:basedOn w:val="Normal"/>
    <w:rsid w:val="00417A40"/>
    <w:pPr>
      <w:shd w:val="clear" w:color="000000" w:fill="002060"/>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88">
    <w:name w:val="xl288"/>
    <w:basedOn w:val="Normal"/>
    <w:rsid w:val="00417A40"/>
    <w:pPr>
      <w:shd w:val="clear" w:color="000000" w:fill="002060"/>
      <w:spacing w:before="100" w:beforeAutospacing="1" w:after="100" w:afterAutospacing="1" w:line="240" w:lineRule="auto"/>
      <w:jc w:val="center"/>
      <w:textAlignment w:val="center"/>
    </w:pPr>
    <w:rPr>
      <w:rFonts w:ascii="Corbel" w:eastAsia="Times New Roman" w:hAnsi="Corbel"/>
      <w:color w:val="FFFFFF"/>
      <w:sz w:val="20"/>
      <w:szCs w:val="20"/>
      <w:lang w:val="en-GB" w:eastAsia="en-GB"/>
    </w:rPr>
  </w:style>
  <w:style w:type="paragraph" w:customStyle="1" w:styleId="xl289">
    <w:name w:val="xl289"/>
    <w:basedOn w:val="Normal"/>
    <w:rsid w:val="00417A40"/>
    <w:pPr>
      <w:spacing w:before="100" w:beforeAutospacing="1" w:after="100" w:afterAutospacing="1" w:line="240" w:lineRule="auto"/>
    </w:pPr>
    <w:rPr>
      <w:rFonts w:ascii="Corbel" w:eastAsia="Times New Roman" w:hAnsi="Corbel"/>
      <w:sz w:val="20"/>
      <w:szCs w:val="20"/>
      <w:lang w:val="en-GB" w:eastAsia="en-GB"/>
    </w:rPr>
  </w:style>
  <w:style w:type="paragraph" w:customStyle="1" w:styleId="xl290">
    <w:name w:val="xl290"/>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1">
    <w:name w:val="xl291"/>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2">
    <w:name w:val="xl292"/>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3">
    <w:name w:val="xl293"/>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4">
    <w:name w:val="xl294"/>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5">
    <w:name w:val="xl295"/>
    <w:basedOn w:val="Normal"/>
    <w:rsid w:val="00417A40"/>
    <w:pPr>
      <w:shd w:val="clear" w:color="000000" w:fill="DCE6F1"/>
      <w:spacing w:before="100" w:beforeAutospacing="1" w:after="100" w:afterAutospacing="1" w:line="240" w:lineRule="auto"/>
    </w:pPr>
    <w:rPr>
      <w:rFonts w:ascii="Corbel" w:eastAsia="Times New Roman" w:hAnsi="Corbel"/>
      <w:sz w:val="20"/>
      <w:szCs w:val="20"/>
      <w:lang w:val="en-GB" w:eastAsia="en-GB"/>
    </w:rPr>
  </w:style>
  <w:style w:type="paragraph" w:customStyle="1" w:styleId="xl296">
    <w:name w:val="xl296"/>
    <w:basedOn w:val="Normal"/>
    <w:rsid w:val="00417A40"/>
    <w:pPr>
      <w:shd w:val="clear" w:color="000000" w:fill="DCE6F1"/>
      <w:spacing w:before="100" w:beforeAutospacing="1" w:after="100" w:afterAutospacing="1" w:line="240" w:lineRule="auto"/>
    </w:pPr>
    <w:rPr>
      <w:rFonts w:ascii="Corbel" w:eastAsia="Times New Roman" w:hAnsi="Corbel"/>
      <w:b/>
      <w:bCs/>
      <w:sz w:val="20"/>
      <w:szCs w:val="20"/>
      <w:lang w:val="en-GB" w:eastAsia="en-GB"/>
    </w:rPr>
  </w:style>
  <w:style w:type="paragraph" w:customStyle="1" w:styleId="xl297">
    <w:name w:val="xl297"/>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8">
    <w:name w:val="xl298"/>
    <w:basedOn w:val="Normal"/>
    <w:rsid w:val="00417A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9">
    <w:name w:val="xl299"/>
    <w:basedOn w:val="Normal"/>
    <w:rsid w:val="00417A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0">
    <w:name w:val="xl300"/>
    <w:basedOn w:val="Normal"/>
    <w:rsid w:val="00417A40"/>
    <w:pPr>
      <w:pBdr>
        <w:top w:val="single" w:sz="4" w:space="0" w:color="auto"/>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1">
    <w:name w:val="xl301"/>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2">
    <w:name w:val="xl302"/>
    <w:basedOn w:val="Normal"/>
    <w:rsid w:val="00417A40"/>
    <w:pPr>
      <w:shd w:val="clear" w:color="000000" w:fill="002060"/>
      <w:spacing w:before="100" w:beforeAutospacing="1" w:after="100" w:afterAutospacing="1" w:line="240" w:lineRule="auto"/>
      <w:textAlignment w:val="center"/>
    </w:pPr>
    <w:rPr>
      <w:rFonts w:ascii="Corbel" w:eastAsia="Times New Roman" w:hAnsi="Corbel"/>
      <w:color w:val="FFFFFF"/>
      <w:sz w:val="20"/>
      <w:szCs w:val="20"/>
      <w:lang w:val="en-GB" w:eastAsia="en-GB"/>
    </w:rPr>
  </w:style>
  <w:style w:type="paragraph" w:customStyle="1" w:styleId="xl303">
    <w:name w:val="xl303"/>
    <w:basedOn w:val="Normal"/>
    <w:rsid w:val="00417A40"/>
    <w:pPr>
      <w:shd w:val="clear" w:color="000000" w:fill="FFFFFF"/>
      <w:spacing w:before="100" w:beforeAutospacing="1" w:after="100" w:afterAutospacing="1" w:line="240" w:lineRule="auto"/>
      <w:textAlignment w:val="center"/>
    </w:pPr>
    <w:rPr>
      <w:rFonts w:ascii="Corbel" w:eastAsia="Times New Roman" w:hAnsi="Corbel"/>
      <w:sz w:val="20"/>
      <w:szCs w:val="20"/>
      <w:lang w:val="en-GB" w:eastAsia="en-GB"/>
    </w:rPr>
  </w:style>
  <w:style w:type="paragraph" w:customStyle="1" w:styleId="xl304">
    <w:name w:val="xl304"/>
    <w:basedOn w:val="Normal"/>
    <w:rsid w:val="00417A40"/>
    <w:pPr>
      <w:shd w:val="clear" w:color="000000" w:fill="FFFFFF"/>
      <w:spacing w:before="100" w:beforeAutospacing="1" w:after="100" w:afterAutospacing="1" w:line="240" w:lineRule="auto"/>
    </w:pPr>
    <w:rPr>
      <w:rFonts w:ascii="Corbel" w:eastAsia="Times New Roman" w:hAnsi="Corbel"/>
      <w:i/>
      <w:iCs/>
      <w:sz w:val="20"/>
      <w:szCs w:val="20"/>
      <w:lang w:val="en-GB" w:eastAsia="en-GB"/>
    </w:rPr>
  </w:style>
  <w:style w:type="paragraph" w:customStyle="1" w:styleId="xl305">
    <w:name w:val="xl305"/>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6">
    <w:name w:val="xl306"/>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7">
    <w:name w:val="xl307"/>
    <w:basedOn w:val="Normal"/>
    <w:rsid w:val="00417A40"/>
    <w:pPr>
      <w:shd w:val="clear" w:color="000000" w:fill="FFFFFF"/>
      <w:spacing w:before="100" w:beforeAutospacing="1" w:after="100" w:afterAutospacing="1" w:line="240" w:lineRule="auto"/>
      <w:ind w:firstLineChars="200" w:firstLine="200"/>
    </w:pPr>
    <w:rPr>
      <w:rFonts w:ascii="Corbel" w:eastAsia="Times New Roman" w:hAnsi="Corbel"/>
      <w:sz w:val="20"/>
      <w:szCs w:val="20"/>
      <w:lang w:val="en-GB" w:eastAsia="en-GB"/>
    </w:rPr>
  </w:style>
  <w:style w:type="paragraph" w:customStyle="1" w:styleId="xl308">
    <w:name w:val="xl308"/>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09">
    <w:name w:val="xl309"/>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0">
    <w:name w:val="xl310"/>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1">
    <w:name w:val="xl311"/>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color w:val="0070C0"/>
      <w:sz w:val="20"/>
      <w:szCs w:val="20"/>
      <w:lang w:val="en-GB" w:eastAsia="en-GB"/>
    </w:rPr>
  </w:style>
  <w:style w:type="paragraph" w:customStyle="1" w:styleId="xl312">
    <w:name w:val="xl312"/>
    <w:basedOn w:val="Normal"/>
    <w:rsid w:val="00417A4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orbel" w:eastAsia="Times New Roman" w:hAnsi="Corbel"/>
      <w:sz w:val="20"/>
      <w:szCs w:val="20"/>
      <w:lang w:val="en-GB" w:eastAsia="en-GB"/>
    </w:rPr>
  </w:style>
  <w:style w:type="paragraph" w:customStyle="1" w:styleId="xl313">
    <w:name w:val="xl313"/>
    <w:basedOn w:val="Normal"/>
    <w:rsid w:val="00417A40"/>
    <w:pPr>
      <w:shd w:val="clear" w:color="000000" w:fill="FFFFFF"/>
      <w:spacing w:before="100" w:beforeAutospacing="1" w:after="100" w:afterAutospacing="1" w:line="240" w:lineRule="auto"/>
      <w:ind w:firstLineChars="200" w:firstLine="200"/>
      <w:textAlignment w:val="center"/>
    </w:pPr>
    <w:rPr>
      <w:rFonts w:ascii="Corbel" w:eastAsia="Times New Roman" w:hAnsi="Corbel"/>
      <w:sz w:val="20"/>
      <w:szCs w:val="20"/>
      <w:lang w:val="en-GB" w:eastAsia="en-GB"/>
    </w:rPr>
  </w:style>
  <w:style w:type="paragraph" w:styleId="TOCHeading">
    <w:name w:val="TOC Heading"/>
    <w:basedOn w:val="Heading1"/>
    <w:next w:val="Normal"/>
    <w:uiPriority w:val="39"/>
    <w:semiHidden/>
    <w:unhideWhenUsed/>
    <w:qFormat/>
    <w:rsid w:val="00417A40"/>
    <w:pPr>
      <w:keepLines/>
      <w:numPr>
        <w:numId w:val="0"/>
      </w:numPr>
      <w:spacing w:before="480" w:after="0"/>
      <w:outlineLvl w:val="9"/>
    </w:pPr>
    <w:rPr>
      <w:rFonts w:ascii="Cambria" w:hAnsi="Cambria" w:cs="Times New Roman"/>
      <w:color w:val="365F91"/>
      <w:szCs w:val="28"/>
      <w:lang w:val="en-US"/>
    </w:rPr>
  </w:style>
  <w:style w:type="table" w:styleId="TableGrid">
    <w:name w:val="Table Grid"/>
    <w:basedOn w:val="TableNormal"/>
    <w:uiPriority w:val="59"/>
    <w:rsid w:val="00D850AB"/>
    <w:rPr>
      <w:rFonts w:eastAsia="Times New Roman" w:cs="Calibri"/>
      <w:lang w:val="sq-A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154C0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446">
      <w:bodyDiv w:val="1"/>
      <w:marLeft w:val="0"/>
      <w:marRight w:val="0"/>
      <w:marTop w:val="0"/>
      <w:marBottom w:val="0"/>
      <w:divBdr>
        <w:top w:val="none" w:sz="0" w:space="0" w:color="auto"/>
        <w:left w:val="none" w:sz="0" w:space="0" w:color="auto"/>
        <w:bottom w:val="none" w:sz="0" w:space="0" w:color="auto"/>
        <w:right w:val="none" w:sz="0" w:space="0" w:color="auto"/>
      </w:divBdr>
    </w:div>
    <w:div w:id="380515138">
      <w:bodyDiv w:val="1"/>
      <w:marLeft w:val="0"/>
      <w:marRight w:val="0"/>
      <w:marTop w:val="0"/>
      <w:marBottom w:val="0"/>
      <w:divBdr>
        <w:top w:val="none" w:sz="0" w:space="0" w:color="auto"/>
        <w:left w:val="none" w:sz="0" w:space="0" w:color="auto"/>
        <w:bottom w:val="none" w:sz="0" w:space="0" w:color="auto"/>
        <w:right w:val="none" w:sz="0" w:space="0" w:color="auto"/>
      </w:divBdr>
    </w:div>
    <w:div w:id="421611431">
      <w:bodyDiv w:val="1"/>
      <w:marLeft w:val="0"/>
      <w:marRight w:val="0"/>
      <w:marTop w:val="0"/>
      <w:marBottom w:val="0"/>
      <w:divBdr>
        <w:top w:val="none" w:sz="0" w:space="0" w:color="auto"/>
        <w:left w:val="none" w:sz="0" w:space="0" w:color="auto"/>
        <w:bottom w:val="none" w:sz="0" w:space="0" w:color="auto"/>
        <w:right w:val="none" w:sz="0" w:space="0" w:color="auto"/>
      </w:divBdr>
    </w:div>
    <w:div w:id="735476762">
      <w:bodyDiv w:val="1"/>
      <w:marLeft w:val="0"/>
      <w:marRight w:val="0"/>
      <w:marTop w:val="0"/>
      <w:marBottom w:val="0"/>
      <w:divBdr>
        <w:top w:val="none" w:sz="0" w:space="0" w:color="auto"/>
        <w:left w:val="none" w:sz="0" w:space="0" w:color="auto"/>
        <w:bottom w:val="none" w:sz="0" w:space="0" w:color="auto"/>
        <w:right w:val="none" w:sz="0" w:space="0" w:color="auto"/>
      </w:divBdr>
    </w:div>
    <w:div w:id="760182641">
      <w:bodyDiv w:val="1"/>
      <w:marLeft w:val="0"/>
      <w:marRight w:val="0"/>
      <w:marTop w:val="0"/>
      <w:marBottom w:val="0"/>
      <w:divBdr>
        <w:top w:val="none" w:sz="0" w:space="0" w:color="auto"/>
        <w:left w:val="none" w:sz="0" w:space="0" w:color="auto"/>
        <w:bottom w:val="none" w:sz="0" w:space="0" w:color="auto"/>
        <w:right w:val="none" w:sz="0" w:space="0" w:color="auto"/>
      </w:divBdr>
    </w:div>
    <w:div w:id="770007303">
      <w:bodyDiv w:val="1"/>
      <w:marLeft w:val="0"/>
      <w:marRight w:val="0"/>
      <w:marTop w:val="0"/>
      <w:marBottom w:val="0"/>
      <w:divBdr>
        <w:top w:val="none" w:sz="0" w:space="0" w:color="auto"/>
        <w:left w:val="none" w:sz="0" w:space="0" w:color="auto"/>
        <w:bottom w:val="none" w:sz="0" w:space="0" w:color="auto"/>
        <w:right w:val="none" w:sz="0" w:space="0" w:color="auto"/>
      </w:divBdr>
    </w:div>
    <w:div w:id="1110662896">
      <w:bodyDiv w:val="1"/>
      <w:marLeft w:val="0"/>
      <w:marRight w:val="0"/>
      <w:marTop w:val="0"/>
      <w:marBottom w:val="0"/>
      <w:divBdr>
        <w:top w:val="none" w:sz="0" w:space="0" w:color="auto"/>
        <w:left w:val="none" w:sz="0" w:space="0" w:color="auto"/>
        <w:bottom w:val="none" w:sz="0" w:space="0" w:color="auto"/>
        <w:right w:val="none" w:sz="0" w:space="0" w:color="auto"/>
      </w:divBdr>
    </w:div>
    <w:div w:id="1135176734">
      <w:bodyDiv w:val="1"/>
      <w:marLeft w:val="0"/>
      <w:marRight w:val="0"/>
      <w:marTop w:val="0"/>
      <w:marBottom w:val="0"/>
      <w:divBdr>
        <w:top w:val="none" w:sz="0" w:space="0" w:color="auto"/>
        <w:left w:val="none" w:sz="0" w:space="0" w:color="auto"/>
        <w:bottom w:val="none" w:sz="0" w:space="0" w:color="auto"/>
        <w:right w:val="none" w:sz="0" w:space="0" w:color="auto"/>
      </w:divBdr>
    </w:div>
    <w:div w:id="1145127758">
      <w:bodyDiv w:val="1"/>
      <w:marLeft w:val="0"/>
      <w:marRight w:val="0"/>
      <w:marTop w:val="0"/>
      <w:marBottom w:val="0"/>
      <w:divBdr>
        <w:top w:val="none" w:sz="0" w:space="0" w:color="auto"/>
        <w:left w:val="none" w:sz="0" w:space="0" w:color="auto"/>
        <w:bottom w:val="none" w:sz="0" w:space="0" w:color="auto"/>
        <w:right w:val="none" w:sz="0" w:space="0" w:color="auto"/>
      </w:divBdr>
    </w:div>
    <w:div w:id="1373652916">
      <w:bodyDiv w:val="1"/>
      <w:marLeft w:val="0"/>
      <w:marRight w:val="0"/>
      <w:marTop w:val="0"/>
      <w:marBottom w:val="0"/>
      <w:divBdr>
        <w:top w:val="none" w:sz="0" w:space="0" w:color="auto"/>
        <w:left w:val="none" w:sz="0" w:space="0" w:color="auto"/>
        <w:bottom w:val="none" w:sz="0" w:space="0" w:color="auto"/>
        <w:right w:val="none" w:sz="0" w:space="0" w:color="auto"/>
      </w:divBdr>
    </w:div>
    <w:div w:id="1421683178">
      <w:bodyDiv w:val="1"/>
      <w:marLeft w:val="0"/>
      <w:marRight w:val="0"/>
      <w:marTop w:val="0"/>
      <w:marBottom w:val="0"/>
      <w:divBdr>
        <w:top w:val="none" w:sz="0" w:space="0" w:color="auto"/>
        <w:left w:val="none" w:sz="0" w:space="0" w:color="auto"/>
        <w:bottom w:val="none" w:sz="0" w:space="0" w:color="auto"/>
        <w:right w:val="none" w:sz="0" w:space="0" w:color="auto"/>
      </w:divBdr>
    </w:div>
    <w:div w:id="1459060477">
      <w:bodyDiv w:val="1"/>
      <w:marLeft w:val="0"/>
      <w:marRight w:val="0"/>
      <w:marTop w:val="0"/>
      <w:marBottom w:val="0"/>
      <w:divBdr>
        <w:top w:val="none" w:sz="0" w:space="0" w:color="auto"/>
        <w:left w:val="none" w:sz="0" w:space="0" w:color="auto"/>
        <w:bottom w:val="none" w:sz="0" w:space="0" w:color="auto"/>
        <w:right w:val="none" w:sz="0" w:space="0" w:color="auto"/>
      </w:divBdr>
    </w:div>
    <w:div w:id="1492523402">
      <w:bodyDiv w:val="1"/>
      <w:marLeft w:val="0"/>
      <w:marRight w:val="0"/>
      <w:marTop w:val="0"/>
      <w:marBottom w:val="0"/>
      <w:divBdr>
        <w:top w:val="none" w:sz="0" w:space="0" w:color="auto"/>
        <w:left w:val="none" w:sz="0" w:space="0" w:color="auto"/>
        <w:bottom w:val="none" w:sz="0" w:space="0" w:color="auto"/>
        <w:right w:val="none" w:sz="0" w:space="0" w:color="auto"/>
      </w:divBdr>
    </w:div>
    <w:div w:id="1565606298">
      <w:bodyDiv w:val="1"/>
      <w:marLeft w:val="0"/>
      <w:marRight w:val="0"/>
      <w:marTop w:val="0"/>
      <w:marBottom w:val="0"/>
      <w:divBdr>
        <w:top w:val="none" w:sz="0" w:space="0" w:color="auto"/>
        <w:left w:val="none" w:sz="0" w:space="0" w:color="auto"/>
        <w:bottom w:val="none" w:sz="0" w:space="0" w:color="auto"/>
        <w:right w:val="none" w:sz="0" w:space="0" w:color="auto"/>
      </w:divBdr>
    </w:div>
    <w:div w:id="1643148701">
      <w:bodyDiv w:val="1"/>
      <w:marLeft w:val="0"/>
      <w:marRight w:val="0"/>
      <w:marTop w:val="0"/>
      <w:marBottom w:val="0"/>
      <w:divBdr>
        <w:top w:val="none" w:sz="0" w:space="0" w:color="auto"/>
        <w:left w:val="none" w:sz="0" w:space="0" w:color="auto"/>
        <w:bottom w:val="none" w:sz="0" w:space="0" w:color="auto"/>
        <w:right w:val="none" w:sz="0" w:space="0" w:color="auto"/>
      </w:divBdr>
    </w:div>
    <w:div w:id="1665888761">
      <w:bodyDiv w:val="1"/>
      <w:marLeft w:val="0"/>
      <w:marRight w:val="0"/>
      <w:marTop w:val="0"/>
      <w:marBottom w:val="0"/>
      <w:divBdr>
        <w:top w:val="none" w:sz="0" w:space="0" w:color="auto"/>
        <w:left w:val="none" w:sz="0" w:space="0" w:color="auto"/>
        <w:bottom w:val="none" w:sz="0" w:space="0" w:color="auto"/>
        <w:right w:val="none" w:sz="0" w:space="0" w:color="auto"/>
      </w:divBdr>
    </w:div>
    <w:div w:id="1860580261">
      <w:bodyDiv w:val="1"/>
      <w:marLeft w:val="0"/>
      <w:marRight w:val="0"/>
      <w:marTop w:val="0"/>
      <w:marBottom w:val="0"/>
      <w:divBdr>
        <w:top w:val="none" w:sz="0" w:space="0" w:color="auto"/>
        <w:left w:val="none" w:sz="0" w:space="0" w:color="auto"/>
        <w:bottom w:val="none" w:sz="0" w:space="0" w:color="auto"/>
        <w:right w:val="none" w:sz="0" w:space="0" w:color="auto"/>
      </w:divBdr>
    </w:div>
    <w:div w:id="20284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pricing-tariffs@ero-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ro-ks.org/2018/Raportet/Pergjigje%20ndaj%20komenteve%20te%20KEDS_PRR2_final.pdf" TargetMode="External"/><Relationship Id="rId1" Type="http://schemas.openxmlformats.org/officeDocument/2006/relationships/hyperlink" Target="https://appsso.eurostat.ec.europa.eu/nui/submitViewTableAction.d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9941-D30A-47ED-AC19-91BA6CD6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3283</Words>
  <Characters>18817</Characters>
  <Application>Microsoft Office Word</Application>
  <DocSecurity>0</DocSecurity>
  <Lines>482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Berisha</dc:creator>
  <cp:lastModifiedBy>Alba Begolli</cp:lastModifiedBy>
  <cp:revision>77</cp:revision>
  <dcterms:created xsi:type="dcterms:W3CDTF">2021-08-26T06:22:00Z</dcterms:created>
  <dcterms:modified xsi:type="dcterms:W3CDTF">2021-08-26T12:54:00Z</dcterms:modified>
</cp:coreProperties>
</file>