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2862" w14:textId="77777777" w:rsidR="001264F5" w:rsidRPr="003A4BA9" w:rsidRDefault="001264F5" w:rsidP="001264F5"/>
    <w:p w14:paraId="51293448" w14:textId="77777777" w:rsidR="001264F5" w:rsidRPr="003A4BA9" w:rsidRDefault="001264F5" w:rsidP="001264F5"/>
    <w:p w14:paraId="34C79196" w14:textId="77777777" w:rsidR="001264F5" w:rsidRPr="003A4BA9" w:rsidRDefault="001264F5" w:rsidP="001264F5"/>
    <w:p w14:paraId="672902C1" w14:textId="092122DF" w:rsidR="00B9189E" w:rsidRPr="0050005A" w:rsidRDefault="00B9189E" w:rsidP="00B9189E">
      <w:pPr>
        <w:pStyle w:val="ReportTitle"/>
        <w:rPr>
          <w:color w:val="F79646"/>
          <w:lang w:val="sq-AL"/>
        </w:rPr>
      </w:pPr>
      <w:r w:rsidRPr="0050005A">
        <w:rPr>
          <w:color w:val="F79646"/>
          <w:lang w:val="sq-AL"/>
        </w:rPr>
        <w:t>Konsultativ</w:t>
      </w:r>
      <w:r w:rsidR="00D222CC">
        <w:rPr>
          <w:color w:val="F79646"/>
          <w:lang w:val="sq-AL"/>
        </w:rPr>
        <w:t>ni Izve</w:t>
      </w:r>
      <w:r w:rsidR="0031697C">
        <w:rPr>
          <w:rFonts w:cs="Calibri"/>
          <w:color w:val="F79646"/>
          <w:lang w:val="sq-AL"/>
        </w:rPr>
        <w:t>š</w:t>
      </w:r>
      <w:r w:rsidR="0031697C">
        <w:rPr>
          <w:color w:val="F79646"/>
          <w:lang w:val="sq-AL"/>
        </w:rPr>
        <w:t>taj</w:t>
      </w:r>
      <w:r w:rsidRPr="0050005A">
        <w:rPr>
          <w:color w:val="F79646"/>
          <w:lang w:val="sq-AL"/>
        </w:rPr>
        <w:t xml:space="preserve"> </w:t>
      </w:r>
    </w:p>
    <w:p w14:paraId="2B5B8918" w14:textId="77777777" w:rsidR="00B9189E" w:rsidRPr="0050005A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</w:rPr>
      </w:pPr>
    </w:p>
    <w:p w14:paraId="71A73588" w14:textId="5F3A85F3" w:rsidR="00B9189E" w:rsidRPr="0050005A" w:rsidRDefault="0031697C" w:rsidP="0031697C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  <w:r w:rsidRPr="0031697C">
        <w:rPr>
          <w:rFonts w:cs="Calibri"/>
          <w:color w:val="F79646"/>
          <w:sz w:val="28"/>
        </w:rPr>
        <w:t xml:space="preserve">Godišnje prilagođavanje maksimalno dozvoljenih prihoda za </w:t>
      </w:r>
      <w:r>
        <w:rPr>
          <w:rFonts w:cs="Calibri"/>
          <w:color w:val="F79646"/>
          <w:sz w:val="28"/>
        </w:rPr>
        <w:t>SUU</w:t>
      </w:r>
    </w:p>
    <w:p w14:paraId="36BD9E1D" w14:textId="77777777" w:rsidR="00B9189E" w:rsidRPr="0050005A" w:rsidRDefault="00B9189E" w:rsidP="0031697C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</w:p>
    <w:p w14:paraId="2367942E" w14:textId="1561D44B" w:rsidR="00B9189E" w:rsidRDefault="0031697C" w:rsidP="00B9189E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  <w:r>
        <w:rPr>
          <w:color w:val="F79646"/>
          <w:sz w:val="28"/>
        </w:rPr>
        <w:t>(April</w:t>
      </w:r>
      <w:r w:rsidR="00B9189E">
        <w:rPr>
          <w:color w:val="F79646"/>
          <w:sz w:val="28"/>
        </w:rPr>
        <w:t xml:space="preserve"> 2020</w:t>
      </w:r>
      <w:r>
        <w:rPr>
          <w:color w:val="F79646"/>
          <w:sz w:val="28"/>
        </w:rPr>
        <w:t xml:space="preserve"> - mart</w:t>
      </w:r>
      <w:r w:rsidR="00B9189E" w:rsidRPr="0050005A">
        <w:rPr>
          <w:color w:val="F79646"/>
          <w:sz w:val="28"/>
        </w:rPr>
        <w:t xml:space="preserve"> 202</w:t>
      </w:r>
      <w:r w:rsidR="00B9189E">
        <w:rPr>
          <w:color w:val="F79646"/>
          <w:sz w:val="28"/>
        </w:rPr>
        <w:t>1</w:t>
      </w:r>
      <w:r w:rsidR="00B9189E" w:rsidRPr="0050005A">
        <w:rPr>
          <w:color w:val="F79646"/>
          <w:sz w:val="28"/>
        </w:rPr>
        <w:t>)</w:t>
      </w:r>
    </w:p>
    <w:p w14:paraId="57AC73CA" w14:textId="77777777" w:rsidR="00B9189E" w:rsidRPr="0050005A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</w:p>
    <w:p w14:paraId="0DE2E660" w14:textId="77777777" w:rsidR="001264F5" w:rsidRPr="003A4BA9" w:rsidRDefault="001264F5" w:rsidP="001264F5"/>
    <w:p w14:paraId="54ACAA1F" w14:textId="77777777" w:rsidR="001264F5" w:rsidRPr="003A4BA9" w:rsidRDefault="001264F5" w:rsidP="001264F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1264F5" w:rsidRPr="003A4BA9" w14:paraId="0A14E120" w14:textId="77777777" w:rsidTr="00343289">
        <w:tc>
          <w:tcPr>
            <w:tcW w:w="9198" w:type="dxa"/>
            <w:shd w:val="clear" w:color="auto" w:fill="E0E0E0"/>
          </w:tcPr>
          <w:p w14:paraId="7F073868" w14:textId="6DE4E191" w:rsidR="001264F5" w:rsidRPr="003A4BA9" w:rsidRDefault="00BF65B7" w:rsidP="00343289">
            <w:pPr>
              <w:spacing w:before="120"/>
              <w:jc w:val="center"/>
              <w:rPr>
                <w:b/>
                <w:color w:val="005D97"/>
              </w:rPr>
            </w:pPr>
            <w:r>
              <w:rPr>
                <w:b/>
                <w:color w:val="005D97"/>
              </w:rPr>
              <w:t>IZJAVA</w:t>
            </w:r>
          </w:p>
          <w:p w14:paraId="530BE31E" w14:textId="03342BAD" w:rsidR="002D3E7F" w:rsidRPr="002D3E7F" w:rsidRDefault="002D3E7F" w:rsidP="00343289">
            <w:pPr>
              <w:keepNext/>
              <w:jc w:val="both"/>
              <w:rPr>
                <w:b/>
                <w:bCs/>
              </w:rPr>
            </w:pPr>
            <w:r w:rsidRPr="002D3E7F">
              <w:rPr>
                <w:b/>
                <w:color w:val="365F91" w:themeColor="accent1" w:themeShade="BF"/>
              </w:rPr>
              <w:t xml:space="preserve">Ovaj Konsultativni Izveštaj je pripremljen od strane RUE-a radi informisanja interesnih strana. </w:t>
            </w:r>
            <w:r w:rsidRPr="002D3E7F">
              <w:rPr>
                <w:b/>
                <w:color w:val="365F91" w:themeColor="accent1" w:themeShade="BF"/>
                <w:u w:val="single"/>
              </w:rPr>
              <w:t>Izveštaj ne predstavlja bilo koju odluku RUE-a i ne treba se smatrati takvim</w:t>
            </w:r>
            <w:r w:rsidRPr="002D3E7F">
              <w:rPr>
                <w:b/>
                <w:color w:val="548DD4" w:themeColor="text2" w:themeTint="99"/>
                <w:u w:val="single"/>
              </w:rPr>
              <w:t>.</w:t>
            </w:r>
          </w:p>
        </w:tc>
      </w:tr>
    </w:tbl>
    <w:p w14:paraId="5E0D3954" w14:textId="77777777" w:rsidR="001264F5" w:rsidRPr="003A4BA9" w:rsidRDefault="001264F5" w:rsidP="001264F5"/>
    <w:p w14:paraId="3C5D27E7" w14:textId="77777777" w:rsidR="001264F5" w:rsidRPr="003A4BA9" w:rsidRDefault="001264F5" w:rsidP="001264F5"/>
    <w:p w14:paraId="5CD0A155" w14:textId="77777777" w:rsidR="001264F5" w:rsidRPr="003A4BA9" w:rsidRDefault="001264F5" w:rsidP="001264F5"/>
    <w:p w14:paraId="4ACA209B" w14:textId="77777777" w:rsidR="001264F5" w:rsidRPr="003A4BA9" w:rsidRDefault="001264F5" w:rsidP="001264F5"/>
    <w:p w14:paraId="4751B545" w14:textId="77777777" w:rsidR="001264F5" w:rsidRPr="003A4BA9" w:rsidRDefault="001264F5" w:rsidP="001264F5"/>
    <w:p w14:paraId="24A4058A" w14:textId="77777777" w:rsidR="001264F5" w:rsidRPr="003A4BA9" w:rsidRDefault="001264F5" w:rsidP="001264F5"/>
    <w:p w14:paraId="43754112" w14:textId="77777777" w:rsidR="001264F5" w:rsidRPr="003A4BA9" w:rsidRDefault="001264F5" w:rsidP="001264F5">
      <w:pPr>
        <w:pStyle w:val="ReportDate"/>
        <w:rPr>
          <w:highlight w:val="yellow"/>
        </w:rPr>
      </w:pPr>
    </w:p>
    <w:p w14:paraId="044E2363" w14:textId="77777777" w:rsidR="001264F5" w:rsidRPr="003A4BA9" w:rsidRDefault="001264F5" w:rsidP="001264F5">
      <w:pPr>
        <w:pStyle w:val="ReportDate"/>
        <w:rPr>
          <w:highlight w:val="yellow"/>
        </w:rPr>
      </w:pPr>
    </w:p>
    <w:p w14:paraId="44B04A42" w14:textId="2EB5F456" w:rsidR="001264F5" w:rsidRPr="003A4BA9" w:rsidRDefault="002D3E7F" w:rsidP="001264F5">
      <w:pPr>
        <w:pStyle w:val="ReportDate"/>
        <w:rPr>
          <w:b w:val="0"/>
          <w:bCs w:val="0"/>
          <w:sz w:val="28"/>
          <w:szCs w:val="28"/>
        </w:rPr>
      </w:pPr>
      <w:r>
        <w:t>Avgust</w:t>
      </w:r>
      <w:r w:rsidR="00AD287E">
        <w:t xml:space="preserve"> </w:t>
      </w:r>
      <w:r w:rsidR="001264F5" w:rsidRPr="003A4BA9">
        <w:t>20</w:t>
      </w:r>
      <w:r w:rsidR="00DB707A">
        <w:t>21</w:t>
      </w:r>
    </w:p>
    <w:p w14:paraId="3A1D8FC8" w14:textId="77777777" w:rsidR="00FB3B1E" w:rsidRDefault="00FB3B1E">
      <w:pPr>
        <w:rPr>
          <w:rFonts w:eastAsia="Times New Roman" w:cstheme="minorHAnsi"/>
          <w:b/>
          <w:bCs/>
          <w:color w:val="003366"/>
          <w:sz w:val="28"/>
          <w:szCs w:val="24"/>
        </w:rPr>
      </w:pPr>
      <w:r>
        <w:rPr>
          <w:rFonts w:cstheme="minorHAnsi"/>
        </w:rPr>
        <w:br w:type="page"/>
      </w:r>
    </w:p>
    <w:sdt>
      <w:sdtPr>
        <w:rPr>
          <w:rFonts w:asciiTheme="minorHAnsi" w:eastAsia="MS Mincho" w:hAnsiTheme="minorHAnsi" w:cstheme="minorBidi"/>
          <w:b w:val="0"/>
          <w:bCs w:val="0"/>
          <w:color w:val="auto"/>
          <w:sz w:val="22"/>
          <w:szCs w:val="22"/>
          <w:lang w:val="sq-AL"/>
        </w:rPr>
        <w:id w:val="546984360"/>
        <w:docPartObj>
          <w:docPartGallery w:val="Table of Contents"/>
          <w:docPartUnique/>
        </w:docPartObj>
      </w:sdtPr>
      <w:sdtEndPr/>
      <w:sdtContent>
        <w:p w14:paraId="1B21C247" w14:textId="77777777" w:rsidR="00FB3B1E" w:rsidRPr="00FB3B1E" w:rsidRDefault="00FB3B1E" w:rsidP="00FB3B1E">
          <w:pPr>
            <w:pStyle w:val="TOCHeading"/>
            <w:spacing w:before="0" w:after="240"/>
          </w:pPr>
        </w:p>
        <w:p w14:paraId="7926D05E" w14:textId="509DDB6B" w:rsidR="00FB3B1E" w:rsidRPr="00FB3B1E" w:rsidRDefault="00E035C0" w:rsidP="00FB3B1E">
          <w:pPr>
            <w:pStyle w:val="TOCHeading"/>
            <w:spacing w:before="0" w:after="240"/>
            <w:rPr>
              <w:lang w:val="sq-AL"/>
            </w:rPr>
          </w:pPr>
          <w:proofErr w:type="spellStart"/>
          <w:r>
            <w:t>Sadržaj</w:t>
          </w:r>
          <w:proofErr w:type="spellEnd"/>
        </w:p>
        <w:p w14:paraId="1243A65F" w14:textId="00DA8CB5" w:rsidR="00D17A05" w:rsidRDefault="00D17A05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90013" w:history="1">
            <w:r w:rsidR="00E035C0">
              <w:rPr>
                <w:rStyle w:val="Hyperlink"/>
                <w:rFonts w:cstheme="minorHAnsi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235AC" w14:textId="0837E8B5" w:rsidR="00D17A05" w:rsidRDefault="000778AC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4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1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E035C0">
              <w:rPr>
                <w:rStyle w:val="Hyperlink"/>
                <w:rFonts w:cstheme="minorHAnsi"/>
                <w:noProof/>
              </w:rPr>
              <w:t>Bilans električne enegije</w:t>
            </w:r>
            <w:r w:rsidR="00D17A05" w:rsidRPr="00AA31C2">
              <w:rPr>
                <w:rStyle w:val="Hyperlink"/>
                <w:rFonts w:cstheme="minorHAnsi"/>
                <w:noProof/>
              </w:rPr>
              <w:t xml:space="preserve"> 2021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_Toc80690014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4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14E1D2F1" w14:textId="366DE5FE" w:rsidR="00D17A05" w:rsidRDefault="000778AC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5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2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E035C0" w:rsidRPr="00E035C0">
              <w:rPr>
                <w:rFonts w:eastAsiaTheme="minorEastAsia"/>
                <w:noProof/>
                <w:lang w:val="en-US"/>
              </w:rPr>
              <w:t>Veleprodajn</w:t>
            </w:r>
            <w:r w:rsidR="00E035C0">
              <w:rPr>
                <w:rFonts w:eastAsiaTheme="minorEastAsia"/>
                <w:noProof/>
                <w:lang w:val="en-US"/>
              </w:rPr>
              <w:t>i troškovi - kupovina energije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_Toc80690015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5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366617A8" w14:textId="05D87952" w:rsidR="00D17A05" w:rsidRDefault="000778AC">
          <w:pPr>
            <w:pStyle w:val="TOC2"/>
            <w:tabs>
              <w:tab w:val="left" w:pos="88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6" w:history="1">
            <w:r w:rsidR="00D17A05" w:rsidRPr="00AA31C2">
              <w:rPr>
                <w:rStyle w:val="Hyperlink"/>
                <w:noProof/>
              </w:rPr>
              <w:t>2.1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3D55CF">
              <w:rPr>
                <w:rStyle w:val="Hyperlink"/>
                <w:noProof/>
              </w:rPr>
              <w:t>Uskla</w:t>
            </w:r>
            <w:r w:rsidR="003D55CF">
              <w:rPr>
                <w:rStyle w:val="Hyperlink"/>
                <w:rFonts w:cstheme="minorHAnsi"/>
                <w:noProof/>
              </w:rPr>
              <w:t>đ</w:t>
            </w:r>
            <w:r w:rsidR="003D55CF">
              <w:rPr>
                <w:rStyle w:val="Hyperlink"/>
                <w:noProof/>
              </w:rPr>
              <w:t>ivanja prihoda za</w:t>
            </w:r>
            <w:r w:rsidR="00D17A05" w:rsidRPr="00AA31C2">
              <w:rPr>
                <w:rStyle w:val="Hyperlink"/>
                <w:noProof/>
              </w:rPr>
              <w:t xml:space="preserve"> 2020</w:t>
            </w:r>
            <w:r w:rsidR="003D55CF">
              <w:rPr>
                <w:rStyle w:val="Hyperlink"/>
                <w:noProof/>
              </w:rPr>
              <w:t xml:space="preserve"> godinu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_Toc80690016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6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05A6530A" w14:textId="66304163" w:rsidR="00D17A05" w:rsidRDefault="000778AC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7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3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3D55CF">
              <w:rPr>
                <w:rStyle w:val="Hyperlink"/>
                <w:rFonts w:cstheme="minorHAnsi"/>
                <w:noProof/>
              </w:rPr>
              <w:t>Troškovi koji se prenose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_Toc80690017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8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58CC534A" w14:textId="48410097" w:rsidR="00D17A05" w:rsidRDefault="000778AC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8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4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11115E">
              <w:rPr>
                <w:rStyle w:val="Hyperlink"/>
                <w:rFonts w:cstheme="minorHAnsi"/>
                <w:noProof/>
              </w:rPr>
              <w:t>Maloprodajni troškovi snabdevača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_Toc80690018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8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31A4219D" w14:textId="3BD58FA2" w:rsidR="00D17A05" w:rsidRDefault="000778AC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9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5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11115E">
              <w:rPr>
                <w:rStyle w:val="Hyperlink"/>
                <w:rFonts w:cstheme="minorHAnsi"/>
                <w:noProof/>
              </w:rPr>
              <w:t>Maksimalno odobreni prihodi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_Toc80690019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9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37A3B5F2" w14:textId="4961F068" w:rsidR="00FB3B1E" w:rsidRDefault="00D17A05">
          <w:r>
            <w:fldChar w:fldCharType="end"/>
          </w:r>
        </w:p>
      </w:sdtContent>
    </w:sdt>
    <w:p w14:paraId="1E87CF9F" w14:textId="77777777" w:rsidR="00FB3B1E" w:rsidRDefault="00FB3B1E">
      <w:pPr>
        <w:rPr>
          <w:rFonts w:eastAsia="Times New Roman" w:cstheme="minorHAnsi"/>
          <w:b/>
          <w:bCs/>
          <w:color w:val="003366"/>
          <w:sz w:val="28"/>
          <w:szCs w:val="24"/>
        </w:rPr>
      </w:pPr>
      <w:r>
        <w:rPr>
          <w:rFonts w:cstheme="minorHAnsi"/>
        </w:rPr>
        <w:br w:type="page"/>
      </w:r>
    </w:p>
    <w:p w14:paraId="5B34BDE8" w14:textId="6A8EAEA9" w:rsidR="00A200BD" w:rsidRPr="00A200BD" w:rsidRDefault="0066600D" w:rsidP="00A200BD">
      <w:pPr>
        <w:pStyle w:val="Heading1"/>
        <w:numPr>
          <w:ilvl w:val="0"/>
          <w:numId w:val="0"/>
        </w:numPr>
        <w:spacing w:before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Uvod</w:t>
      </w:r>
    </w:p>
    <w:p w14:paraId="11666180" w14:textId="16196059" w:rsidR="00A200BD" w:rsidRDefault="0066600D" w:rsidP="008773FD">
      <w:pPr>
        <w:jc w:val="both"/>
      </w:pPr>
      <w:r>
        <w:t>Regulatorni Ured za Energiju (RUE) trenutno sprovodi Redovno Godišnje Usklađivanje za Maksimalno Odobrene Prihode (MAR) koji će biti pokriveni od Regulisanih Kompanija. U ovom procesu, RUE će dati početni predlog za ažurirani MAR za Operatera Prenosnog Sistema i trži</w:t>
      </w:r>
      <w:r w:rsidR="00DC6892">
        <w:t>šta (OPS/OT, KOSTT), Operatera Distributivnog S</w:t>
      </w:r>
      <w:r>
        <w:t>i</w:t>
      </w:r>
      <w:r w:rsidR="00DC6892">
        <w:t>stema (ODS, KEDS) i Snabdevača Univerzalnom U</w:t>
      </w:r>
      <w:r>
        <w:t>slugom (SUU). Ova početna procena zasniva se na predloge dostavljene od strane regulisanih kompa</w:t>
      </w:r>
      <w:r w:rsidR="00DC6892">
        <w:t>nija kao i odluke o Maksimalno Odobrenim P</w:t>
      </w:r>
      <w:r>
        <w:t>rihodima za regulativni period 2018-2022</w:t>
      </w:r>
      <w:r w:rsidR="00DC6892">
        <w:rPr>
          <w:rFonts w:cs="Calibri"/>
        </w:rPr>
        <w:t xml:space="preserve"> za OPS/OT i ODS.</w:t>
      </w:r>
      <w:r w:rsidR="00C601D7">
        <w:t xml:space="preserve"> </w:t>
      </w:r>
    </w:p>
    <w:p w14:paraId="33CF5AC4" w14:textId="41BD9C56" w:rsidR="00B52624" w:rsidRPr="001471C5" w:rsidRDefault="00DC6892" w:rsidP="00B52624">
      <w:pPr>
        <w:jc w:val="both"/>
        <w:rPr>
          <w:rFonts w:cs="Calibri"/>
        </w:rPr>
      </w:pPr>
      <w:r>
        <w:t xml:space="preserve">Ovaj Konsultativni Izveštaj predstavlja procenu RUE-a za predlog o maksimalno odobrenim prihodima (MAR) za Snabdevača Univerzalnom Uslugom (SUU) za relevantnu tarifnu 2021. godinu. </w:t>
      </w:r>
      <w:r w:rsidRPr="00DC6892">
        <w:t>Proces prilagođavanja za odgovarajuću tarifnu godinu 2021. obuhvata period od 1. aprila 2021. do 31. marta 2022. godine, ali je zbog odsustva Odbora takav proces odložen</w:t>
      </w:r>
      <w:r>
        <w:t>.</w:t>
      </w:r>
      <w:r w:rsidRPr="00DC6892">
        <w:t xml:space="preserve"> </w:t>
      </w:r>
      <w:r>
        <w:t>Kašnjenje u donošenju odluka o Maksimalno Odobrenim P</w:t>
      </w:r>
      <w:r w:rsidRPr="00DC6892">
        <w:t>rihodima i tarifama za ovu relevantnu tarifnu godinu biće ažurirano u sledećoj relevantnoj tarifnoj godini 2022.</w:t>
      </w:r>
    </w:p>
    <w:p w14:paraId="4D96E0BA" w14:textId="77E9EFF5" w:rsidR="00770DD6" w:rsidRPr="0050005A" w:rsidRDefault="003C61E2" w:rsidP="00770DD6">
      <w:pPr>
        <w:jc w:val="both"/>
        <w:rPr>
          <w:rFonts w:cs="Calibri"/>
        </w:rPr>
      </w:pPr>
      <w:r w:rsidRPr="003C61E2">
        <w:t>Stran</w:t>
      </w:r>
      <w:r>
        <w:t>k</w:t>
      </w:r>
      <w:r w:rsidRPr="003C61E2">
        <w:t xml:space="preserve">e koje žele da podnesu </w:t>
      </w:r>
      <w:r>
        <w:t>njihove eventualne k</w:t>
      </w:r>
      <w:r w:rsidR="00DC6892">
        <w:t xml:space="preserve">omentare o </w:t>
      </w:r>
      <w:r w:rsidRPr="003C61E2">
        <w:t xml:space="preserve"> predlozima RUE</w:t>
      </w:r>
      <w:r>
        <w:t>-a</w:t>
      </w:r>
      <w:r w:rsidRPr="003C61E2">
        <w:t xml:space="preserve"> se pozivaju da dostave svoje pisane komentare </w:t>
      </w:r>
      <w:r w:rsidR="00DC6892">
        <w:t>u elektronskom obliku putem e-maila n</w:t>
      </w:r>
      <w:r>
        <w:t xml:space="preserve">a </w:t>
      </w:r>
      <w:hyperlink r:id="rId8" w:history="1">
        <w:r w:rsidRPr="0050005A">
          <w:rPr>
            <w:rStyle w:val="Hyperlink"/>
            <w:rFonts w:cs="Calibri"/>
          </w:rPr>
          <w:t>ero.pricing-tariffs@ero-ks.org</w:t>
        </w:r>
      </w:hyperlink>
      <w:r>
        <w:t xml:space="preserve">  </w:t>
      </w:r>
      <w:r w:rsidRPr="003C61E2">
        <w:t>najkasnije do 6. septembra 2021</w:t>
      </w:r>
      <w:r>
        <w:t>. Tako</w:t>
      </w:r>
      <w:r>
        <w:rPr>
          <w:rFonts w:cstheme="minorHAnsi"/>
        </w:rPr>
        <w:t>đ</w:t>
      </w:r>
      <w:r>
        <w:t>e, komentari mogu s</w:t>
      </w:r>
      <w:r w:rsidR="00DC6892">
        <w:t>e dostaviti u štam</w:t>
      </w:r>
      <w:r>
        <w:t>panom obliku na adresi</w:t>
      </w:r>
      <w:r w:rsidR="00770DD6" w:rsidRPr="0050005A">
        <w:rPr>
          <w:rFonts w:cs="Calibri"/>
        </w:rPr>
        <w:t>:</w:t>
      </w:r>
    </w:p>
    <w:p w14:paraId="3E8356EA" w14:textId="03DE8AA4" w:rsidR="00A864F7" w:rsidRPr="00A864F7" w:rsidRDefault="00A864F7" w:rsidP="00770DD6">
      <w:pPr>
        <w:spacing w:after="0" w:line="240" w:lineRule="auto"/>
        <w:rPr>
          <w:i/>
        </w:rPr>
      </w:pPr>
      <w:r w:rsidRPr="00A864F7">
        <w:rPr>
          <w:i/>
        </w:rPr>
        <w:t xml:space="preserve">Regulatorni Ured za Energiju </w:t>
      </w:r>
    </w:p>
    <w:p w14:paraId="046C17C6" w14:textId="77777777" w:rsidR="00A864F7" w:rsidRPr="00A864F7" w:rsidRDefault="00A864F7" w:rsidP="00770DD6">
      <w:pPr>
        <w:spacing w:after="0" w:line="240" w:lineRule="auto"/>
        <w:rPr>
          <w:i/>
        </w:rPr>
      </w:pPr>
      <w:r w:rsidRPr="00A864F7">
        <w:rPr>
          <w:i/>
        </w:rPr>
        <w:t xml:space="preserve">Odeljenje za Tarife i Cene </w:t>
      </w:r>
    </w:p>
    <w:p w14:paraId="31A222E5" w14:textId="77777777" w:rsidR="00A864F7" w:rsidRDefault="00A864F7" w:rsidP="00770DD6">
      <w:pPr>
        <w:spacing w:after="0" w:line="240" w:lineRule="auto"/>
        <w:rPr>
          <w:i/>
        </w:rPr>
      </w:pPr>
      <w:r w:rsidRPr="005663BF">
        <w:rPr>
          <w:i/>
        </w:rPr>
        <w:t>Ul.</w:t>
      </w:r>
      <w:r>
        <w:t xml:space="preserve"> </w:t>
      </w:r>
      <w:r w:rsidRPr="00A864F7">
        <w:rPr>
          <w:i/>
        </w:rPr>
        <w:t>Dervish Rozhaja br. 12 Priština, 10000, Kosovo</w:t>
      </w:r>
    </w:p>
    <w:p w14:paraId="03FF40D5" w14:textId="77777777" w:rsidR="00A864F7" w:rsidRDefault="00A864F7" w:rsidP="00770DD6">
      <w:pPr>
        <w:rPr>
          <w:rFonts w:cs="Calibri"/>
          <w:i/>
        </w:rPr>
      </w:pPr>
    </w:p>
    <w:p w14:paraId="5C3C60CA" w14:textId="20ED6749" w:rsidR="00770DD6" w:rsidRPr="00B254DC" w:rsidRDefault="00770DD6" w:rsidP="00770DD6">
      <w:pPr>
        <w:rPr>
          <w:rFonts w:cs="Calibri"/>
          <w:b/>
        </w:rPr>
      </w:pPr>
      <w:r w:rsidRPr="00B254DC">
        <w:rPr>
          <w:rFonts w:cs="Calibri"/>
        </w:rPr>
        <w:t xml:space="preserve">   </w:t>
      </w:r>
      <w:r w:rsidR="00447A8A">
        <w:rPr>
          <w:rFonts w:cs="Calibri"/>
          <w:b/>
        </w:rPr>
        <w:t>Relevantni Dokumenti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41"/>
      </w:tblGrid>
      <w:tr w:rsidR="00770DD6" w:rsidRPr="004923F4" w14:paraId="08B03E91" w14:textId="77777777" w:rsidTr="008E1C6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35A18A0" w14:textId="7FF9C3ED" w:rsidR="00770DD6" w:rsidRPr="00E21740" w:rsidRDefault="0039096A" w:rsidP="00811875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Tarifna primena SUU</w:t>
            </w:r>
            <w:r w:rsidRPr="0039096A">
              <w:rPr>
                <w:rFonts w:cs="Calibri"/>
              </w:rPr>
              <w:t xml:space="preserve"> za godinu</w:t>
            </w:r>
            <w:r w:rsidR="00770DD6" w:rsidRPr="00E21740">
              <w:rPr>
                <w:rFonts w:cs="Calibri"/>
              </w:rPr>
              <w:t xml:space="preserve"> 202</w:t>
            </w:r>
            <w:r w:rsidR="00811875" w:rsidRPr="00E21740">
              <w:rPr>
                <w:rFonts w:cs="Calibri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14:paraId="026F738B" w14:textId="409060F2" w:rsidR="00770DD6" w:rsidRPr="00E21740" w:rsidRDefault="00E21740" w:rsidP="007C4CE3">
            <w:pPr>
              <w:spacing w:before="120" w:after="0" w:line="240" w:lineRule="auto"/>
              <w:rPr>
                <w:rStyle w:val="Hyperlink"/>
              </w:rPr>
            </w:pPr>
            <w:r w:rsidRPr="00E21740">
              <w:rPr>
                <w:rStyle w:val="Hyperlink"/>
              </w:rPr>
              <w:t>https://www.ero-ks.org/zrre/sites/default/files/Konsultimet%20Publike/Aplikimi%20i%20FUSH-s%C3%AB%202021%20-%208%20Mars%202021.pdf</w:t>
            </w:r>
          </w:p>
        </w:tc>
      </w:tr>
      <w:tr w:rsidR="00770DD6" w:rsidRPr="004923F4" w14:paraId="33B5CE6B" w14:textId="77777777" w:rsidTr="008E1C6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C5CF474" w14:textId="2FAA22BD" w:rsidR="00770DD6" w:rsidRPr="00E21740" w:rsidRDefault="0039096A" w:rsidP="00811875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Tarifna primena KOSTT za godinu</w:t>
            </w:r>
            <w:r w:rsidR="00770DD6" w:rsidRPr="00E21740">
              <w:rPr>
                <w:rFonts w:cs="Calibri"/>
              </w:rPr>
              <w:t xml:space="preserve"> 202</w:t>
            </w:r>
            <w:r w:rsidR="00811875" w:rsidRPr="00E21740">
              <w:rPr>
                <w:rFonts w:cs="Calibri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14:paraId="451AE451" w14:textId="255043A6" w:rsidR="00770DD6" w:rsidRPr="00E21740" w:rsidRDefault="00E21740" w:rsidP="007C4CE3">
            <w:pPr>
              <w:spacing w:before="120" w:after="0" w:line="240" w:lineRule="auto"/>
              <w:rPr>
                <w:rStyle w:val="Hyperlink"/>
              </w:rPr>
            </w:pPr>
            <w:r w:rsidRPr="00E21740">
              <w:rPr>
                <w:rStyle w:val="Hyperlink"/>
              </w:rPr>
              <w:t>https://www.ero-ks.org/zrre/sites/default/files/Konsultimet%20Publike/Aplikacioni_%20p%C3%ABrshtetjet%20vjetore%202021_%20KOSTT.pdf</w:t>
            </w:r>
          </w:p>
        </w:tc>
      </w:tr>
      <w:tr w:rsidR="00770DD6" w:rsidRPr="00B254DC" w14:paraId="11EF8A3A" w14:textId="77777777" w:rsidTr="008E1C6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BCB44A" w14:textId="233E387F" w:rsidR="00770DD6" w:rsidRPr="00E21740" w:rsidRDefault="0039096A" w:rsidP="00770DD6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Tarifna primena KEDS za godinu</w:t>
            </w:r>
            <w:r w:rsidR="00811875" w:rsidRPr="00E21740">
              <w:rPr>
                <w:rFonts w:cs="Calibri"/>
              </w:rPr>
              <w:t xml:space="preserve"> 2021</w:t>
            </w:r>
          </w:p>
        </w:tc>
        <w:tc>
          <w:tcPr>
            <w:tcW w:w="5041" w:type="dxa"/>
            <w:shd w:val="clear" w:color="auto" w:fill="auto"/>
          </w:tcPr>
          <w:p w14:paraId="425D576B" w14:textId="54E733FB" w:rsidR="00770DD6" w:rsidRPr="00E21740" w:rsidRDefault="00E21740" w:rsidP="007C4CE3">
            <w:pPr>
              <w:spacing w:before="120" w:after="0" w:line="240" w:lineRule="auto"/>
            </w:pPr>
            <w:r w:rsidRPr="00E21740">
              <w:rPr>
                <w:rStyle w:val="Hyperlink"/>
              </w:rPr>
              <w:t>https://www.ero-ks.org/zrre/sites/default/files/Konsultimet%20Publike/Aplikimi%20i%20OSSH-s%C3%AB%202021%20-%208%20Mars%202021.pdf</w:t>
            </w:r>
          </w:p>
        </w:tc>
      </w:tr>
    </w:tbl>
    <w:p w14:paraId="2D968B31" w14:textId="77777777" w:rsidR="001264F5" w:rsidRDefault="001264F5" w:rsidP="008773FD">
      <w:pPr>
        <w:jc w:val="both"/>
      </w:pPr>
    </w:p>
    <w:p w14:paraId="0366B284" w14:textId="77777777" w:rsidR="001264F5" w:rsidRDefault="001264F5" w:rsidP="008773FD">
      <w:pPr>
        <w:jc w:val="both"/>
      </w:pPr>
    </w:p>
    <w:p w14:paraId="15DB3205" w14:textId="77777777" w:rsidR="001264F5" w:rsidRDefault="001264F5" w:rsidP="008773FD">
      <w:pPr>
        <w:jc w:val="both"/>
      </w:pPr>
    </w:p>
    <w:p w14:paraId="151AA8E9" w14:textId="77777777" w:rsidR="00343289" w:rsidRDefault="00343289">
      <w:r>
        <w:br w:type="page"/>
      </w:r>
    </w:p>
    <w:p w14:paraId="3ACEA3E0" w14:textId="45776D8A" w:rsidR="00A200BD" w:rsidRDefault="006B7DE1" w:rsidP="008773FD">
      <w:pPr>
        <w:pStyle w:val="Heading1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bookmarkStart w:id="0" w:name="_Toc80690014"/>
      <w:r>
        <w:lastRenderedPageBreak/>
        <w:t xml:space="preserve">Bilans električne energije za </w:t>
      </w:r>
      <w:r w:rsidR="00A200BD">
        <w:rPr>
          <w:rFonts w:asciiTheme="minorHAnsi" w:hAnsiTheme="minorHAnsi" w:cstheme="minorHAnsi"/>
        </w:rPr>
        <w:t>20</w:t>
      </w:r>
      <w:r w:rsidR="00770DD6">
        <w:rPr>
          <w:rFonts w:asciiTheme="minorHAnsi" w:hAnsiTheme="minorHAnsi" w:cstheme="minorHAnsi"/>
        </w:rPr>
        <w:t>2</w:t>
      </w:r>
      <w:r w:rsidR="004923F4">
        <w:rPr>
          <w:rFonts w:asciiTheme="minorHAnsi" w:hAnsiTheme="minorHAnsi" w:cstheme="minorHAnsi"/>
        </w:rPr>
        <w:t>1</w:t>
      </w:r>
      <w:bookmarkEnd w:id="0"/>
      <w:r>
        <w:rPr>
          <w:rFonts w:asciiTheme="minorHAnsi" w:hAnsiTheme="minorHAnsi" w:cstheme="minorHAnsi"/>
        </w:rPr>
        <w:t xml:space="preserve">.godinu </w:t>
      </w:r>
    </w:p>
    <w:p w14:paraId="6ECBB2CF" w14:textId="357EEDF0" w:rsidR="004923F4" w:rsidRDefault="006B7DE1" w:rsidP="00343289">
      <w:pPr>
        <w:jc w:val="both"/>
      </w:pPr>
      <w:r w:rsidRPr="006B7DE1">
        <w:t xml:space="preserve">U ovom pregledu tarifa RUE je koristio odobreni bilans </w:t>
      </w:r>
      <w:r>
        <w:t>stanja za 2021. Međutim, obrada</w:t>
      </w:r>
      <w:r w:rsidRPr="006B7DE1">
        <w:t xml:space="preserve"> potrošn</w:t>
      </w:r>
      <w:r>
        <w:t>je</w:t>
      </w:r>
      <w:r w:rsidRPr="006B7DE1">
        <w:t xml:space="preserve"> električne energije od strane kupaca priključenih na naponski nivo od 35kV i 10kV, urađen je u skladu sa stavom Odbora RUE da nastavi snabdevanje kupci</w:t>
      </w:r>
      <w:r>
        <w:t>ma iz SUU-a</w:t>
      </w:r>
      <w:r w:rsidRPr="006B7DE1">
        <w:t xml:space="preserve"> sa regulisanim tarifama. S obzirom da se KESCO prijavio za MAR 2021. godine na osnovu deregulacije kupaca priključenih na naponski nivo 35kV i 10kV, postojaće razlike u osnovi analize koju koristi RUE</w:t>
      </w:r>
      <w:r>
        <w:t>-a.</w:t>
      </w:r>
    </w:p>
    <w:p w14:paraId="247188D1" w14:textId="35C10FD8" w:rsidR="00343289" w:rsidRDefault="009F3D0F" w:rsidP="00343289">
      <w:pPr>
        <w:jc w:val="both"/>
      </w:pPr>
      <w:r w:rsidRPr="009F3D0F">
        <w:t>Ovaj bilans stanja treba da odražava samo troškove snabdevanja električnom energijom kupaca koji uživaju pravo snabdevanja u smislu univerzalne usluge. U tom smislu, količine</w:t>
      </w:r>
      <w:r>
        <w:t xml:space="preserve"> za veleprodaju energije za SUU</w:t>
      </w:r>
      <w:r w:rsidRPr="009F3D0F">
        <w:t xml:space="preserve"> su:</w:t>
      </w:r>
    </w:p>
    <w:p w14:paraId="329A757F" w14:textId="7D158C0F" w:rsidR="00D52EE6" w:rsidRDefault="009F3D0F" w:rsidP="00D52EE6">
      <w:pPr>
        <w:pStyle w:val="ListParagraph"/>
        <w:numPr>
          <w:ilvl w:val="0"/>
          <w:numId w:val="11"/>
        </w:numPr>
        <w:jc w:val="both"/>
      </w:pPr>
      <w:r>
        <w:t>Kupovina energije od KEK A.D</w:t>
      </w:r>
      <w:r w:rsidR="00D52EE6">
        <w:t>;</w:t>
      </w:r>
    </w:p>
    <w:p w14:paraId="6A9A4C1F" w14:textId="3A81B9D9" w:rsidR="00D52EE6" w:rsidRDefault="009F3D0F" w:rsidP="00D52EE6">
      <w:pPr>
        <w:pStyle w:val="ListParagraph"/>
        <w:numPr>
          <w:ilvl w:val="0"/>
          <w:numId w:val="11"/>
        </w:numPr>
        <w:jc w:val="both"/>
      </w:pPr>
      <w:r>
        <w:t>Kupovina energije od generatora koji su priključeni na nivo prenosa</w:t>
      </w:r>
      <w:r w:rsidR="00D52EE6">
        <w:t>;</w:t>
      </w:r>
    </w:p>
    <w:p w14:paraId="3C6729F0" w14:textId="34383109" w:rsidR="00D52EE6" w:rsidRDefault="009F3D0F" w:rsidP="00D52EE6">
      <w:pPr>
        <w:pStyle w:val="ListParagraph"/>
        <w:numPr>
          <w:ilvl w:val="0"/>
          <w:numId w:val="11"/>
        </w:numPr>
        <w:jc w:val="both"/>
      </w:pPr>
      <w:r>
        <w:t>Kupovina energije od generatora koji su priključeni na nivo distribucije; i</w:t>
      </w:r>
    </w:p>
    <w:p w14:paraId="5CC0AC82" w14:textId="61875E8B" w:rsidR="00D52EE6" w:rsidRDefault="009F3D0F" w:rsidP="00D52EE6">
      <w:pPr>
        <w:pStyle w:val="ListParagraph"/>
        <w:numPr>
          <w:ilvl w:val="0"/>
          <w:numId w:val="11"/>
        </w:numPr>
        <w:jc w:val="both"/>
      </w:pPr>
      <w:r>
        <w:t>Uvoz.</w:t>
      </w:r>
    </w:p>
    <w:p w14:paraId="6D0F77FC" w14:textId="7596B575" w:rsidR="00C0378D" w:rsidRDefault="009F3D0F" w:rsidP="004923F4">
      <w:pPr>
        <w:jc w:val="both"/>
      </w:pPr>
      <w:r>
        <w:t xml:space="preserve">Količina energije za izvoz prilikom projekcije nije smatrana kao energija SUU-a, s obzirom da SUU treba da nominira samo potrebne količine za pokrivanje potrošnje potrošača sa univerzalnom uslugom. Ovom količinom energije treba upravljati relevantni proizvođač u skladu sa prioritetima dispečerske službe. Potrošnja potrošača sa univerzalnom uslugom ne obuhvata </w:t>
      </w:r>
      <w:r w:rsidRPr="009F3D0F">
        <w:t>kategorije kupa</w:t>
      </w:r>
      <w:r>
        <w:t>ca povezanih na nivou prenosa.</w:t>
      </w:r>
    </w:p>
    <w:p w14:paraId="057AE38E" w14:textId="31102ED0" w:rsidR="00D52EE6" w:rsidRDefault="009F3D0F" w:rsidP="00C0378D">
      <w:pPr>
        <w:jc w:val="both"/>
      </w:pPr>
      <w:r>
        <w:t>U sledećoj tabeli prikazani su izvori snabdevanja za pokrivanje zahteva potrošača SUU-a.</w:t>
      </w:r>
      <w:r w:rsidR="00BF7B36">
        <w:t xml:space="preserve"> </w:t>
      </w:r>
    </w:p>
    <w:p w14:paraId="56786C5E" w14:textId="469B5F34" w:rsidR="005129C7" w:rsidRPr="005129C7" w:rsidRDefault="005129C7" w:rsidP="005129C7">
      <w:pPr>
        <w:tabs>
          <w:tab w:val="left" w:pos="3218"/>
        </w:tabs>
        <w:spacing w:after="0"/>
        <w:jc w:val="center"/>
        <w:rPr>
          <w:b/>
          <w:i/>
          <w:color w:val="17365D" w:themeColor="text2" w:themeShade="BF"/>
        </w:rPr>
      </w:pPr>
      <w:r w:rsidRPr="00A67D35">
        <w:rPr>
          <w:b/>
          <w:i/>
          <w:color w:val="17365D" w:themeColor="text2" w:themeShade="BF"/>
        </w:rPr>
        <w:t>Tabela</w:t>
      </w:r>
      <w:r w:rsidR="00AD630F" w:rsidRPr="00A67D35">
        <w:rPr>
          <w:b/>
          <w:i/>
          <w:color w:val="17365D" w:themeColor="text2" w:themeShade="BF"/>
        </w:rPr>
        <w:t xml:space="preserve"> 1</w:t>
      </w:r>
      <w:r w:rsidRPr="00A67D35">
        <w:rPr>
          <w:b/>
          <w:i/>
          <w:color w:val="17365D" w:themeColor="text2" w:themeShade="BF"/>
        </w:rPr>
        <w:t>: Bi</w:t>
      </w:r>
      <w:r w:rsidR="009F3D0F">
        <w:rPr>
          <w:b/>
          <w:i/>
          <w:color w:val="17365D" w:themeColor="text2" w:themeShade="BF"/>
        </w:rPr>
        <w:t>lans elektri</w:t>
      </w:r>
      <w:r w:rsidR="009F3D0F">
        <w:rPr>
          <w:rFonts w:cstheme="minorHAnsi"/>
          <w:b/>
          <w:i/>
          <w:color w:val="17365D" w:themeColor="text2" w:themeShade="BF"/>
        </w:rPr>
        <w:t>č</w:t>
      </w:r>
      <w:r w:rsidR="009F3D0F">
        <w:rPr>
          <w:b/>
          <w:i/>
          <w:color w:val="17365D" w:themeColor="text2" w:themeShade="BF"/>
        </w:rPr>
        <w:t>ne energije za SUU</w:t>
      </w:r>
      <w:r w:rsidRPr="00A67D35">
        <w:rPr>
          <w:b/>
          <w:i/>
          <w:color w:val="17365D" w:themeColor="text2" w:themeShade="BF"/>
        </w:rPr>
        <w:t xml:space="preserve">i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40"/>
        <w:gridCol w:w="2189"/>
      </w:tblGrid>
      <w:tr w:rsidR="00BD043F" w:rsidRPr="00AD630F" w14:paraId="682C2680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64E22B50" w14:textId="5AB5DAA4" w:rsidR="00BD043F" w:rsidRPr="00AD630F" w:rsidRDefault="009F3D0F" w:rsidP="00BD043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Kupovina energije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53A47BBF" w14:textId="77777777" w:rsidR="00BD043F" w:rsidRPr="00AD630F" w:rsidRDefault="00BD043F" w:rsidP="00BD04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G</w:t>
            </w:r>
            <w:r w:rsidR="00C6478E">
              <w:rPr>
                <w:rFonts w:eastAsia="Times New Roman" w:cstheme="minorHAnsi"/>
                <w:b/>
                <w:bCs/>
                <w:color w:val="FFFFFF"/>
              </w:rPr>
              <w:t>W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>h</w:t>
            </w:r>
          </w:p>
        </w:tc>
      </w:tr>
      <w:tr w:rsidR="00BD043F" w:rsidRPr="00AD630F" w14:paraId="726A2011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EDB9" w14:textId="34360098" w:rsidR="00BD043F" w:rsidRPr="00AD630F" w:rsidRDefault="009F3D0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Isporučena količina od KEK-a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70ED" w14:textId="5F68657D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</w:t>
            </w:r>
            <w:r w:rsidR="00C6478E">
              <w:rPr>
                <w:rFonts w:eastAsia="Times New Roman" w:cstheme="minorHAnsi"/>
                <w:color w:val="000000"/>
              </w:rPr>
              <w:t>3,</w:t>
            </w:r>
            <w:r w:rsidR="00127C6A">
              <w:rPr>
                <w:rFonts w:eastAsia="Times New Roman" w:cstheme="minorHAnsi"/>
                <w:color w:val="000000"/>
              </w:rPr>
              <w:t>732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D043F" w:rsidRPr="00AD630F" w14:paraId="0CBBCF5C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D2E2D" w14:textId="74DF50CB" w:rsidR="00BD043F" w:rsidRPr="00AD630F" w:rsidRDefault="009F3D0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Generatori na nivou OPS-a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53E1" w14:textId="30EED6E4" w:rsidR="00BD043F" w:rsidRPr="00AD630F" w:rsidRDefault="00DC5348" w:rsidP="00C647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127C6A">
              <w:rPr>
                <w:rFonts w:eastAsia="Times New Roman" w:cstheme="minorHAnsi"/>
                <w:color w:val="000000"/>
              </w:rPr>
              <w:t>16</w:t>
            </w:r>
          </w:p>
        </w:tc>
      </w:tr>
      <w:tr w:rsidR="00BD043F" w:rsidRPr="00AD630F" w14:paraId="3AA6B422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EB020" w14:textId="2F797136" w:rsidR="00BD043F" w:rsidRPr="00AD630F" w:rsidRDefault="009F3D0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Generatori na nivou ODS-a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77BD6" w14:textId="76E11582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    </w:t>
            </w:r>
            <w:r w:rsidR="00127C6A">
              <w:rPr>
                <w:rFonts w:eastAsia="Times New Roman" w:cstheme="minorHAnsi"/>
                <w:color w:val="000000"/>
              </w:rPr>
              <w:t>199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D043F" w:rsidRPr="00AD630F" w14:paraId="6DA87DA7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4BB4" w14:textId="33AE72E2" w:rsidR="00BD043F" w:rsidRPr="00AD630F" w:rsidRDefault="009F3D0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Uvoz</w:t>
            </w:r>
          </w:p>
        </w:tc>
        <w:tc>
          <w:tcPr>
            <w:tcW w:w="121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F995" w14:textId="09029D1F" w:rsidR="00BD043F" w:rsidRPr="00AD630F" w:rsidRDefault="00127C6A" w:rsidP="00A1639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83</w:t>
            </w:r>
          </w:p>
        </w:tc>
      </w:tr>
      <w:tr w:rsidR="00BD043F" w:rsidRPr="00AD630F" w14:paraId="41BE258B" w14:textId="77777777" w:rsidTr="00AD630F">
        <w:trPr>
          <w:trHeight w:val="351"/>
          <w:jc w:val="center"/>
        </w:trPr>
        <w:tc>
          <w:tcPr>
            <w:tcW w:w="37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562B" w14:textId="755556A1" w:rsidR="00BD043F" w:rsidRPr="009F3D0F" w:rsidRDefault="009F3D0F" w:rsidP="00BD04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9F3D0F">
              <w:rPr>
                <w:b/>
              </w:rPr>
              <w:t>Ukupno isporučena količina</w:t>
            </w:r>
            <w:r w:rsidR="00BD043F" w:rsidRPr="009F3D0F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2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B9C0B" w14:textId="4A5213FC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           </w:t>
            </w:r>
            <w:r w:rsidR="00214901">
              <w:rPr>
                <w:rFonts w:eastAsia="Times New Roman" w:cstheme="minorHAnsi"/>
                <w:b/>
                <w:bCs/>
              </w:rPr>
              <w:fldChar w:fldCharType="begin"/>
            </w:r>
            <w:r w:rsidR="00DC5348">
              <w:rPr>
                <w:rFonts w:eastAsia="Times New Roman" w:cstheme="minorHAnsi"/>
                <w:b/>
                <w:bCs/>
              </w:rPr>
              <w:instrText xml:space="preserve"> =SUM(ABOVE) </w:instrText>
            </w:r>
            <w:r w:rsidR="00214901">
              <w:rPr>
                <w:rFonts w:eastAsia="Times New Roman" w:cstheme="minorHAnsi"/>
                <w:b/>
                <w:bCs/>
              </w:rPr>
              <w:fldChar w:fldCharType="separate"/>
            </w:r>
            <w:r w:rsidR="00127C6A">
              <w:rPr>
                <w:rFonts w:eastAsia="Times New Roman" w:cstheme="minorHAnsi"/>
                <w:b/>
                <w:bCs/>
                <w:noProof/>
              </w:rPr>
              <w:t>4,23</w:t>
            </w:r>
            <w:r w:rsidR="00214901">
              <w:rPr>
                <w:rFonts w:eastAsia="Times New Roman" w:cstheme="minorHAnsi"/>
                <w:b/>
                <w:bCs/>
              </w:rPr>
              <w:fldChar w:fldCharType="end"/>
            </w:r>
            <w:r w:rsidR="00127C6A">
              <w:rPr>
                <w:rFonts w:eastAsia="Times New Roman" w:cstheme="minorHAnsi"/>
                <w:b/>
                <w:bCs/>
              </w:rPr>
              <w:t>1</w:t>
            </w:r>
          </w:p>
        </w:tc>
      </w:tr>
      <w:tr w:rsidR="00BD043F" w:rsidRPr="00AD630F" w14:paraId="457AF5BF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0D47" w14:textId="10CFF86E" w:rsidR="00BD043F" w:rsidRPr="009F3D0F" w:rsidRDefault="009F3D0F" w:rsidP="00BD04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9F3D0F">
              <w:rPr>
                <w:b/>
              </w:rPr>
              <w:t>Potrošnja prema kategorijama potrošača SUU</w:t>
            </w:r>
            <w:r w:rsidR="00BD043F" w:rsidRPr="009F3D0F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21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13716" w14:textId="77777777" w:rsidR="00BD043F" w:rsidRPr="00AD630F" w:rsidRDefault="00BD043F" w:rsidP="00A1639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D043F" w:rsidRPr="00AD630F" w14:paraId="0662232C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2876A" w14:textId="061BDD22" w:rsidR="00BD043F" w:rsidRPr="00AD630F" w:rsidRDefault="009F3D0F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</w:t>
            </w:r>
            <w:r>
              <w:t>Potrošači</w:t>
            </w:r>
            <w:r w:rsidR="00BD043F" w:rsidRPr="00AD630F">
              <w:rPr>
                <w:rFonts w:eastAsia="Times New Roman" w:cstheme="minorHAnsi"/>
                <w:color w:val="000000"/>
              </w:rPr>
              <w:t xml:space="preserve"> 35 kV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1BDFB" w14:textId="4E377AE7" w:rsidR="00BD043F" w:rsidRPr="00AD630F" w:rsidRDefault="00127C6A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59</w:t>
            </w:r>
          </w:p>
        </w:tc>
      </w:tr>
      <w:tr w:rsidR="00BD043F" w:rsidRPr="00AD630F" w14:paraId="5693B44F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126B" w14:textId="63C93EED" w:rsidR="00BD043F" w:rsidRPr="00AD630F" w:rsidRDefault="009F3D0F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</w:t>
            </w:r>
            <w:r>
              <w:t>Potrošači</w:t>
            </w:r>
            <w:r w:rsidR="00BD043F" w:rsidRPr="00AD630F">
              <w:rPr>
                <w:rFonts w:eastAsia="Times New Roman" w:cstheme="minorHAnsi"/>
                <w:color w:val="000000"/>
              </w:rPr>
              <w:t xml:space="preserve"> 10 kV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B7EFE" w14:textId="0C1B24CC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    </w:t>
            </w:r>
            <w:r w:rsidR="00127C6A">
              <w:rPr>
                <w:rFonts w:eastAsia="Times New Roman" w:cstheme="minorHAnsi"/>
                <w:color w:val="000000"/>
              </w:rPr>
              <w:t>450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D043F" w:rsidRPr="00AD630F" w14:paraId="253EDF99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912F6" w14:textId="3E20AC85" w:rsidR="00BD043F" w:rsidRPr="00AD630F" w:rsidRDefault="00BD043F" w:rsidP="009F3D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</w:t>
            </w:r>
            <w:r w:rsidR="009F3D0F">
              <w:t>Potrošači</w:t>
            </w:r>
            <w:r w:rsidRPr="00AD630F">
              <w:rPr>
                <w:rFonts w:eastAsia="Times New Roman" w:cstheme="minorHAnsi"/>
                <w:color w:val="000000"/>
              </w:rPr>
              <w:t xml:space="preserve"> 0.4 kV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96685" w14:textId="2943D363" w:rsidR="00BD043F" w:rsidRPr="00AD630F" w:rsidRDefault="00180CE9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</w:t>
            </w:r>
            <w:r w:rsidR="00127C6A">
              <w:rPr>
                <w:rFonts w:eastAsia="Times New Roman" w:cstheme="minorHAnsi"/>
                <w:color w:val="000000"/>
              </w:rPr>
              <w:t>722</w:t>
            </w:r>
          </w:p>
        </w:tc>
      </w:tr>
      <w:tr w:rsidR="00BD043F" w:rsidRPr="00AD630F" w14:paraId="18848DD3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7814BDFB" w14:textId="36876CE0" w:rsidR="00BD043F" w:rsidRPr="00AD630F" w:rsidRDefault="009F3D0F" w:rsidP="00BD043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 Ukupna potrošnja potrošaća SUU-a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4EC93860" w14:textId="6AB44D88" w:rsidR="00BD043F" w:rsidRPr="00AD630F" w:rsidRDefault="00180CE9" w:rsidP="00DC53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            </w:t>
            </w:r>
            <w:r w:rsidR="00DC5348">
              <w:rPr>
                <w:rFonts w:eastAsia="Times New Roman" w:cstheme="minorHAnsi"/>
                <w:b/>
                <w:bCs/>
                <w:color w:val="FFFFFF"/>
              </w:rPr>
              <w:t>4,</w:t>
            </w:r>
            <w:r w:rsidR="00127C6A">
              <w:rPr>
                <w:rFonts w:eastAsia="Times New Roman" w:cstheme="minorHAnsi"/>
                <w:b/>
                <w:bCs/>
                <w:color w:val="FFFFFF"/>
              </w:rPr>
              <w:t>231</w:t>
            </w:r>
          </w:p>
        </w:tc>
      </w:tr>
    </w:tbl>
    <w:p w14:paraId="30418E0D" w14:textId="77777777" w:rsidR="001D1277" w:rsidRDefault="001D1277" w:rsidP="001D1277">
      <w:pPr>
        <w:spacing w:after="0"/>
        <w:ind w:left="360"/>
        <w:jc w:val="both"/>
      </w:pPr>
    </w:p>
    <w:p w14:paraId="5DF35D9D" w14:textId="49AF97E6" w:rsidR="00BF7B36" w:rsidRDefault="009F3D0F" w:rsidP="001C3094">
      <w:pPr>
        <w:jc w:val="both"/>
      </w:pPr>
      <w:r w:rsidRPr="009F3D0F">
        <w:t>Kao što se može videti iz tabele, količina energije koju planiraju da potroše potrošači sa pravom univerzalne usluge jednaka je količinama koje treba pokriti iz različ</w:t>
      </w:r>
      <w:r w:rsidR="00F70D92">
        <w:t>itih izvora snabdevanja. Raspod</w:t>
      </w:r>
      <w:r w:rsidRPr="009F3D0F">
        <w:t xml:space="preserve">ela energije potrošačima sa univerzalnom uslugom za energiju iz obnovljivih izvora vrši se proporcionalno između potrošnje reguliranih i neregulisanih potrošača. Dok je energija proizvedena </w:t>
      </w:r>
      <w:r w:rsidR="00F70D92">
        <w:t>od hidroelektrana sa kojima SUU</w:t>
      </w:r>
      <w:r w:rsidRPr="009F3D0F">
        <w:t xml:space="preserve"> i</w:t>
      </w:r>
      <w:r w:rsidR="00F70D92">
        <w:t>ma ugovor o koncesiji izdvajana korisnicima SUU</w:t>
      </w:r>
      <w:r w:rsidRPr="009F3D0F">
        <w:t xml:space="preserve"> -a, u sk</w:t>
      </w:r>
      <w:r w:rsidR="00F70D92">
        <w:t xml:space="preserve">ladu sa ugovorima između strana. </w:t>
      </w:r>
    </w:p>
    <w:p w14:paraId="12DAB90A" w14:textId="77777777" w:rsidR="00404139" w:rsidRDefault="00404139" w:rsidP="00404139">
      <w:pPr>
        <w:jc w:val="both"/>
      </w:pPr>
    </w:p>
    <w:p w14:paraId="34F9F327" w14:textId="641F8772" w:rsidR="005129C7" w:rsidRDefault="00931BCC" w:rsidP="00404139">
      <w:pPr>
        <w:jc w:val="both"/>
      </w:pPr>
      <w:r>
        <w:lastRenderedPageBreak/>
        <w:t xml:space="preserve">Pokrivanje gubitaka u prenosnom i distributivnom sistemu predstavlja odgovornost operatera relevantnih mreža i oni nisu prikazani u ovoj tabeli. Oni su razmatrani u Konsultativnim Izveštajima o MAR-u OPS/OT-a i ODS-a </w:t>
      </w:r>
      <w:r w:rsidRPr="00931BCC">
        <w:t>za 2021 godinu.</w:t>
      </w:r>
    </w:p>
    <w:p w14:paraId="73F1FB07" w14:textId="2BACFE86" w:rsidR="008773FD" w:rsidRDefault="00951E51" w:rsidP="008773FD">
      <w:pPr>
        <w:pStyle w:val="Heading1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r>
        <w:t>Veleprodajni troškovi – kupovina energije</w:t>
      </w:r>
    </w:p>
    <w:p w14:paraId="25382FE9" w14:textId="7F451683" w:rsidR="005D35F3" w:rsidRDefault="00951E51" w:rsidP="00BF21DC">
      <w:pPr>
        <w:spacing w:before="120" w:after="120"/>
        <w:jc w:val="both"/>
      </w:pPr>
      <w:r>
        <w:t xml:space="preserve">Nakon utvrđivanja potrebnih količina za snabdevanje u cilju pokrivanja potražnje potrošača SUU-a , treba vršiti i obračun troškova za kupovinu energije na veleprodajno tržište. U skladu sa Pravilom o Prihodima SUU-a, Snabdevač Univerzalnom Uslugom je dužan da obezbeđuje električnu energiju na transparentan, konkurentan i efikasan način. Snabdevač Univerzalnom Uslugom treba demonstrirati da su opravdane projektovane cene električne energije koja će biti nabavljena. </w:t>
      </w:r>
    </w:p>
    <w:p w14:paraId="694A1EB0" w14:textId="4D7B22B3" w:rsidR="00404139" w:rsidRDefault="0087448B" w:rsidP="00526E92">
      <w:pPr>
        <w:spacing w:after="0"/>
        <w:jc w:val="both"/>
      </w:pPr>
      <w:r w:rsidRPr="0087448B">
        <w:t>Iz istraživanja o kupovini energije od strane regulatora, utvrđeno je da se prodaja energije iz HE Ujmani koja je najveća hidroelektrana u zemlji, ostvaruje ugovorom postignutim u maju 2019. godine sa rokom od godinu dana (od 17.05.2019. 16.05.2020). Nakon ist</w:t>
      </w:r>
      <w:r>
        <w:t>eka ugovora, suprotno Postupku K</w:t>
      </w:r>
      <w:r w:rsidRPr="0087448B">
        <w:t>upovin</w:t>
      </w:r>
      <w:r>
        <w:t>e E</w:t>
      </w:r>
      <w:r w:rsidRPr="0087448B">
        <w:t>nergije, prodaja i kupovina energije iz HE Ujman produžena je d</w:t>
      </w:r>
      <w:r>
        <w:t>o 31. decembra 2020. To je sprečilo KESCO-SUU</w:t>
      </w:r>
      <w:r w:rsidRPr="0087448B">
        <w:t xml:space="preserve"> da efikasnije kupuje </w:t>
      </w:r>
      <w:r>
        <w:t xml:space="preserve">energiju </w:t>
      </w:r>
      <w:r w:rsidRPr="0087448B">
        <w:t>za regulisano snabdevanje kupaca.</w:t>
      </w:r>
      <w:r w:rsidR="00A20B1B">
        <w:t xml:space="preserve"> </w:t>
      </w:r>
    </w:p>
    <w:p w14:paraId="5BF7FCFE" w14:textId="5B491201" w:rsidR="00A20B1B" w:rsidRDefault="0087448B" w:rsidP="00BF21DC">
      <w:pPr>
        <w:spacing w:before="120" w:after="120"/>
        <w:jc w:val="both"/>
      </w:pPr>
      <w:r w:rsidRPr="0087448B">
        <w:t>KESCO-SUU nije predvideo kupovinu energije iz HE Ujman čak ni za tarifn</w:t>
      </w:r>
      <w:r>
        <w:t>u godinu 2021., stoga KESCO-SUU</w:t>
      </w:r>
      <w:r w:rsidRPr="0087448B">
        <w:t xml:space="preserve"> mora dokazati da su alternative sa kojih je zamenjena ova energija povoljnije za krajnje kupce k</w:t>
      </w:r>
      <w:r>
        <w:t>ako se zahteva pravilima prihoda</w:t>
      </w:r>
      <w:r w:rsidR="009C79CC">
        <w:t xml:space="preserve">. </w:t>
      </w:r>
    </w:p>
    <w:p w14:paraId="5225FDFC" w14:textId="6C55D95A" w:rsidR="005D35F3" w:rsidRDefault="0087448B" w:rsidP="00BF21DC">
      <w:pPr>
        <w:spacing w:before="120" w:after="120"/>
        <w:jc w:val="both"/>
      </w:pPr>
      <w:r>
        <w:t>Tokom procesa pregovaranja u ugovorima o kupovini energije SUU-a iz domaće proizvodnje, treba imati u vidu činjenicu da su projektovane cene u skladu sa istorijskim cenama i projektovanim cenama za veleprodajno tržište Kosova.</w:t>
      </w:r>
    </w:p>
    <w:p w14:paraId="5B3AACE2" w14:textId="72156B6C" w:rsidR="00811875" w:rsidRPr="00BF21DC" w:rsidRDefault="0087448B" w:rsidP="00811875">
      <w:pPr>
        <w:jc w:val="both"/>
      </w:pPr>
      <w:r w:rsidRPr="0087448B">
        <w:t>U proceni troškova nabavke energije na veliko, RUE je uzeo u obzir direktne troškove Snabdevača OIE prema pravilu z</w:t>
      </w:r>
      <w:r>
        <w:t>a Šemu P</w:t>
      </w:r>
      <w:r w:rsidRPr="0087448B">
        <w:t>odrške, troškove kupovine energije od drugih proizvođača prema ugovornim uslovima.</w:t>
      </w:r>
    </w:p>
    <w:p w14:paraId="168D8830" w14:textId="0DCD727F" w:rsidR="00024C9E" w:rsidRPr="00024C9E" w:rsidRDefault="0087448B" w:rsidP="00024C9E">
      <w:pPr>
        <w:spacing w:after="0" w:line="240" w:lineRule="auto"/>
        <w:rPr>
          <w:sz w:val="15"/>
          <w:szCs w:val="15"/>
        </w:rPr>
      </w:pPr>
      <w:r>
        <w:t>Odobrene veleprodajne troškove energije (WHPCt) treba obračunati prema formuli</w:t>
      </w:r>
      <w:r w:rsidR="00024C9E" w:rsidRPr="00024C9E">
        <w:rPr>
          <w:rFonts w:eastAsia="Calibri" w:cs="Calibri"/>
        </w:rPr>
        <w:t>:</w:t>
      </w:r>
    </w:p>
    <w:p w14:paraId="4EAE5288" w14:textId="77777777" w:rsidR="00024C9E" w:rsidRPr="00E96FEF" w:rsidRDefault="00024C9E" w:rsidP="00024C9E">
      <w:pPr>
        <w:pStyle w:val="ListParagraph"/>
        <w:rPr>
          <w:rFonts w:eastAsia="Calibri" w:cs="Calibri"/>
          <w:i/>
        </w:rPr>
      </w:pPr>
    </w:p>
    <w:p w14:paraId="10A114FC" w14:textId="77777777" w:rsidR="00024C9E" w:rsidRDefault="00C6478E" w:rsidP="00024C9E">
      <w:pPr>
        <w:pStyle w:val="ListParagraph"/>
        <w:rPr>
          <w:rFonts w:eastAsia="Calibri" w:cs="Calibri"/>
          <w:i/>
          <w:spacing w:val="-1"/>
        </w:rPr>
      </w:pPr>
      <w:r>
        <w:rPr>
          <w:rFonts w:eastAsia="Calibri" w:cs="Calibri"/>
          <w:i/>
        </w:rPr>
        <w:t>W</w:t>
      </w:r>
      <w:r w:rsidR="00024C9E" w:rsidRPr="00B35EAB">
        <w:rPr>
          <w:rFonts w:eastAsia="Calibri" w:cs="Calibri"/>
          <w:i/>
        </w:rPr>
        <w:t>HPC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-1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=</w:t>
      </w:r>
      <w:r w:rsidR="00024C9E" w:rsidRPr="00B35EAB">
        <w:rPr>
          <w:rFonts w:eastAsia="Calibri" w:cs="Calibri"/>
          <w:i/>
          <w:spacing w:val="1"/>
        </w:rPr>
        <w:t xml:space="preserve"> (</w:t>
      </w:r>
      <w:r w:rsidR="00024C9E" w:rsidRPr="00B35EAB">
        <w:rPr>
          <w:rFonts w:eastAsia="Calibri" w:cs="Calibri"/>
          <w:i/>
        </w:rPr>
        <w:t>GE</w:t>
      </w:r>
      <w:r w:rsidR="00024C9E" w:rsidRPr="00B35EAB">
        <w:rPr>
          <w:rFonts w:eastAsia="Calibri" w:cs="Calibri"/>
          <w:i/>
          <w:spacing w:val="-1"/>
        </w:rPr>
        <w:t>N</w:t>
      </w:r>
      <w:r w:rsidR="00024C9E" w:rsidRPr="00B35EAB">
        <w:rPr>
          <w:rFonts w:eastAsia="Calibri" w:cs="Calibri"/>
          <w:i/>
          <w:spacing w:val="1"/>
        </w:rPr>
        <w:t>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17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+</w:t>
      </w:r>
      <w:r w:rsidR="00024C9E" w:rsidRPr="00B35EAB">
        <w:rPr>
          <w:rFonts w:eastAsia="Calibri" w:cs="Calibri"/>
          <w:i/>
          <w:spacing w:val="1"/>
        </w:rPr>
        <w:t xml:space="preserve"> </w:t>
      </w:r>
      <w:r w:rsidR="00024C9E" w:rsidRPr="00B35EAB">
        <w:rPr>
          <w:rFonts w:eastAsia="Calibri" w:cs="Calibri"/>
          <w:i/>
          <w:spacing w:val="-3"/>
        </w:rPr>
        <w:t>I</w:t>
      </w:r>
      <w:r w:rsidR="00024C9E" w:rsidRPr="00B35EAB">
        <w:rPr>
          <w:rFonts w:eastAsia="Calibri" w:cs="Calibri"/>
          <w:i/>
          <w:spacing w:val="1"/>
        </w:rPr>
        <w:t>M</w:t>
      </w:r>
      <w:r w:rsidR="00024C9E" w:rsidRPr="00B35EAB">
        <w:rPr>
          <w:rFonts w:eastAsia="Calibri" w:cs="Calibri"/>
          <w:i/>
          <w:spacing w:val="-1"/>
        </w:rPr>
        <w:t>P</w:t>
      </w:r>
      <w:r w:rsidR="00024C9E" w:rsidRPr="00B35EAB">
        <w:rPr>
          <w:rFonts w:eastAsia="Calibri" w:cs="Calibri"/>
          <w:i/>
        </w:rPr>
        <w:t>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17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+</w:t>
      </w:r>
      <w:r w:rsidR="00024C9E" w:rsidRPr="00B35EAB">
        <w:rPr>
          <w:rFonts w:eastAsia="Calibri" w:cs="Calibri"/>
          <w:i/>
          <w:spacing w:val="1"/>
        </w:rPr>
        <w:t xml:space="preserve"> </w:t>
      </w:r>
      <w:r w:rsidR="00024C9E" w:rsidRPr="00B35EAB">
        <w:rPr>
          <w:rFonts w:eastAsia="Calibri" w:cs="Calibri"/>
          <w:i/>
          <w:spacing w:val="-3"/>
        </w:rPr>
        <w:t>I</w:t>
      </w:r>
      <w:r w:rsidR="00024C9E" w:rsidRPr="00B35EAB">
        <w:rPr>
          <w:rFonts w:eastAsia="Calibri" w:cs="Calibri"/>
          <w:i/>
          <w:spacing w:val="1"/>
        </w:rPr>
        <w:t>M</w:t>
      </w:r>
      <w:r w:rsidR="00024C9E" w:rsidRPr="00B35EAB">
        <w:rPr>
          <w:rFonts w:eastAsia="Calibri" w:cs="Calibri"/>
          <w:i/>
        </w:rPr>
        <w:t>B</w:t>
      </w:r>
      <w:r w:rsidR="00024C9E" w:rsidRPr="00B35EAB">
        <w:rPr>
          <w:rFonts w:eastAsia="Calibri" w:cs="Calibri"/>
          <w:i/>
          <w:spacing w:val="1"/>
        </w:rPr>
        <w:t>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17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*</w:t>
      </w:r>
      <w:r w:rsidR="00024C9E" w:rsidRPr="00B35EAB">
        <w:rPr>
          <w:rFonts w:eastAsia="Calibri" w:cs="Calibri"/>
          <w:i/>
          <w:spacing w:val="1"/>
        </w:rPr>
        <w:t xml:space="preserve"> </w:t>
      </w:r>
      <w:r w:rsidR="00024C9E" w:rsidRPr="00B35EAB">
        <w:rPr>
          <w:rFonts w:eastAsia="Calibri" w:cs="Calibri"/>
          <w:i/>
          <w:spacing w:val="-3"/>
        </w:rPr>
        <w:t>I</w:t>
      </w:r>
      <w:r w:rsidR="00024C9E" w:rsidRPr="00B35EAB">
        <w:rPr>
          <w:rFonts w:eastAsia="Calibri" w:cs="Calibri"/>
          <w:i/>
          <w:spacing w:val="1"/>
        </w:rPr>
        <w:t>M</w:t>
      </w:r>
      <w:r w:rsidR="00024C9E" w:rsidRPr="00B35EAB">
        <w:rPr>
          <w:rFonts w:eastAsia="Calibri" w:cs="Calibri"/>
          <w:i/>
          <w:spacing w:val="-2"/>
        </w:rPr>
        <w:t>B</w:t>
      </w:r>
      <w:r w:rsidR="00024C9E" w:rsidRPr="00B35EAB">
        <w:rPr>
          <w:rFonts w:eastAsia="Calibri" w:cs="Calibri"/>
          <w:i/>
        </w:rPr>
        <w:t>F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 xml:space="preserve">t </w:t>
      </w:r>
      <w:r w:rsidR="00024C9E" w:rsidRPr="00B35EAB">
        <w:rPr>
          <w:rFonts w:eastAsia="Calibri" w:cs="Calibri"/>
          <w:i/>
          <w:spacing w:val="-1"/>
        </w:rPr>
        <w:t>)*(1+RETM</w:t>
      </w:r>
      <w:r w:rsidR="00024C9E" w:rsidRPr="00BE3DAB">
        <w:rPr>
          <w:rFonts w:eastAsia="Calibri" w:cs="Calibri"/>
          <w:i/>
          <w:spacing w:val="-1"/>
          <w:vertAlign w:val="subscript"/>
        </w:rPr>
        <w:t>t</w:t>
      </w:r>
      <w:r w:rsidR="00024C9E" w:rsidRPr="00B35EAB">
        <w:rPr>
          <w:rFonts w:eastAsia="Calibri" w:cs="Calibri"/>
          <w:i/>
          <w:spacing w:val="-1"/>
        </w:rPr>
        <w:t>)</w:t>
      </w:r>
    </w:p>
    <w:p w14:paraId="0EAEB867" w14:textId="77777777" w:rsidR="00024C9E" w:rsidRPr="00024C9E" w:rsidRDefault="00024C9E" w:rsidP="00024C9E">
      <w:pPr>
        <w:pStyle w:val="ListParagraph"/>
        <w:rPr>
          <w:rFonts w:eastAsia="Calibri" w:cs="Calibri"/>
          <w:i/>
          <w:spacing w:val="-1"/>
          <w:sz w:val="12"/>
          <w:szCs w:val="12"/>
        </w:rPr>
      </w:pPr>
    </w:p>
    <w:p w14:paraId="5FE50B60" w14:textId="77777777" w:rsidR="00024C9E" w:rsidRDefault="00024C9E" w:rsidP="00564792">
      <w:pPr>
        <w:pStyle w:val="ListParagraph"/>
        <w:spacing w:after="0" w:line="240" w:lineRule="auto"/>
        <w:rPr>
          <w:rFonts w:eastAsia="Calibri" w:cs="Calibri"/>
          <w:i/>
        </w:rPr>
      </w:pPr>
      <w:r w:rsidRPr="00B35EAB">
        <w:rPr>
          <w:rFonts w:eastAsia="Calibri" w:cs="Calibri"/>
          <w:i/>
        </w:rPr>
        <w:t>Ku:</w:t>
      </w:r>
    </w:p>
    <w:p w14:paraId="70F25869" w14:textId="77777777" w:rsidR="00024C9E" w:rsidRPr="00024C9E" w:rsidRDefault="00024C9E" w:rsidP="00564792">
      <w:pPr>
        <w:pStyle w:val="ListParagraph"/>
        <w:spacing w:after="0" w:line="240" w:lineRule="auto"/>
        <w:rPr>
          <w:rFonts w:eastAsia="Calibri" w:cs="Calibri"/>
          <w:sz w:val="12"/>
          <w:szCs w:val="12"/>
        </w:rPr>
      </w:pPr>
    </w:p>
    <w:p w14:paraId="1C369B9F" w14:textId="2A765E4F" w:rsidR="00024C9E" w:rsidRPr="0012315E" w:rsidRDefault="00024C9E" w:rsidP="00564792">
      <w:pPr>
        <w:pStyle w:val="ListParagraph"/>
        <w:spacing w:after="0" w:line="240" w:lineRule="auto"/>
        <w:ind w:left="1710" w:hanging="990"/>
        <w:jc w:val="both"/>
        <w:rPr>
          <w:rFonts w:eastAsia="Calibri" w:cs="Calibri"/>
          <w:i/>
        </w:rPr>
      </w:pPr>
      <w:r w:rsidRPr="00B35EAB">
        <w:rPr>
          <w:rFonts w:eastAsia="Calibri" w:cs="Calibri"/>
          <w:i/>
        </w:rPr>
        <w:t>GE</w:t>
      </w:r>
      <w:r w:rsidRPr="0012315E">
        <w:rPr>
          <w:rFonts w:eastAsia="Calibri" w:cs="Calibri"/>
          <w:i/>
        </w:rPr>
        <w:t>N</w:t>
      </w:r>
      <w:r w:rsidRPr="00B35EAB">
        <w:rPr>
          <w:rFonts w:eastAsia="Calibri" w:cs="Calibri"/>
          <w:i/>
        </w:rPr>
        <w:t>C</w:t>
      </w:r>
      <w:r w:rsidRPr="00BE3DAB">
        <w:rPr>
          <w:rFonts w:eastAsia="Calibri" w:cs="Calibri"/>
          <w:i/>
          <w:vertAlign w:val="subscript"/>
        </w:rPr>
        <w:t>t</w:t>
      </w:r>
      <w:r w:rsidRPr="0012315E">
        <w:rPr>
          <w:rFonts w:eastAsia="Calibri" w:cs="Calibri"/>
          <w:i/>
        </w:rPr>
        <w:t xml:space="preserve">      </w:t>
      </w:r>
      <w:r w:rsidR="001C3094">
        <w:rPr>
          <w:rFonts w:eastAsia="Calibri" w:cs="Calibri"/>
          <w:i/>
        </w:rPr>
        <w:t xml:space="preserve">   </w:t>
      </w:r>
      <w:r w:rsidR="0087448B">
        <w:t xml:space="preserve">Odobreni troškovi za kupovinu energije iz domaćih generatora u relevantnoj godini 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</w:p>
    <w:p w14:paraId="75FCF6C1" w14:textId="77777777" w:rsidR="00024C9E" w:rsidRPr="00614AA2" w:rsidRDefault="00024C9E" w:rsidP="00564792">
      <w:pPr>
        <w:spacing w:after="0" w:line="240" w:lineRule="auto"/>
        <w:ind w:left="1710" w:hanging="720"/>
      </w:pPr>
    </w:p>
    <w:p w14:paraId="04933BB5" w14:textId="384E5D6D" w:rsidR="00024C9E" w:rsidRPr="0012315E" w:rsidRDefault="00024C9E" w:rsidP="00564792">
      <w:pPr>
        <w:pStyle w:val="ListParagraph"/>
        <w:spacing w:after="0" w:line="240" w:lineRule="auto"/>
        <w:ind w:left="1710" w:hanging="990"/>
        <w:jc w:val="both"/>
        <w:rPr>
          <w:rFonts w:eastAsia="Calibri" w:cs="Calibri"/>
          <w:i/>
        </w:rPr>
      </w:pPr>
      <w:r w:rsidRPr="00B35EAB">
        <w:rPr>
          <w:rFonts w:eastAsia="Calibri" w:cs="Calibri"/>
          <w:i/>
        </w:rPr>
        <w:t>IM</w:t>
      </w:r>
      <w:r w:rsidRPr="0012315E">
        <w:rPr>
          <w:rFonts w:eastAsia="Calibri" w:cs="Calibri"/>
          <w:i/>
        </w:rPr>
        <w:t>P</w:t>
      </w:r>
      <w:r w:rsidRPr="00B35EAB">
        <w:rPr>
          <w:rFonts w:eastAsia="Calibri" w:cs="Calibri"/>
          <w:i/>
        </w:rPr>
        <w:t>C</w:t>
      </w:r>
      <w:r w:rsidRPr="00BE3DAB">
        <w:rPr>
          <w:rFonts w:eastAsia="Calibri" w:cs="Calibri"/>
          <w:i/>
          <w:vertAlign w:val="subscript"/>
        </w:rPr>
        <w:t>t</w:t>
      </w:r>
      <w:r w:rsidRPr="0012315E">
        <w:rPr>
          <w:rFonts w:eastAsia="Calibri" w:cs="Calibri"/>
          <w:i/>
        </w:rPr>
        <w:t xml:space="preserve">     </w:t>
      </w:r>
      <w:r w:rsidR="001C3094">
        <w:rPr>
          <w:rFonts w:eastAsia="Calibri" w:cs="Calibri"/>
          <w:i/>
        </w:rPr>
        <w:t xml:space="preserve">    </w:t>
      </w:r>
      <w:r w:rsidRPr="0012315E">
        <w:rPr>
          <w:rFonts w:eastAsia="Calibri" w:cs="Calibri"/>
          <w:i/>
        </w:rPr>
        <w:t xml:space="preserve"> </w:t>
      </w:r>
      <w:r w:rsidR="0087448B">
        <w:t>Odobreni troškovi za energiju iz uvoza u relevantnoj godini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</w:p>
    <w:p w14:paraId="1F665052" w14:textId="77777777" w:rsidR="00024C9E" w:rsidRPr="0012315E" w:rsidRDefault="00024C9E" w:rsidP="00564792">
      <w:pPr>
        <w:spacing w:after="0" w:line="240" w:lineRule="auto"/>
        <w:ind w:left="1710"/>
        <w:rPr>
          <w:rFonts w:ascii="Calibri" w:eastAsia="Calibri" w:hAnsi="Calibri" w:cs="Calibri"/>
          <w:i/>
        </w:rPr>
      </w:pPr>
    </w:p>
    <w:p w14:paraId="33240ACB" w14:textId="1B6FD4F1" w:rsidR="00024C9E" w:rsidRPr="0012315E" w:rsidRDefault="00024C9E" w:rsidP="00564792">
      <w:pPr>
        <w:pStyle w:val="ListParagraph"/>
        <w:spacing w:after="0" w:line="240" w:lineRule="auto"/>
        <w:ind w:left="1710" w:hanging="990"/>
        <w:rPr>
          <w:rFonts w:eastAsia="Calibri" w:cs="Calibri"/>
          <w:i/>
        </w:rPr>
      </w:pPr>
      <w:r w:rsidRPr="00B35EAB">
        <w:rPr>
          <w:rFonts w:eastAsia="Calibri" w:cs="Calibri"/>
          <w:i/>
        </w:rPr>
        <w:t>IMBC</w:t>
      </w:r>
      <w:r w:rsidRPr="00BE3DAB">
        <w:rPr>
          <w:rFonts w:eastAsia="Calibri" w:cs="Calibri"/>
          <w:i/>
          <w:vertAlign w:val="subscript"/>
        </w:rPr>
        <w:t>t</w:t>
      </w:r>
      <w:r w:rsidR="0087448B">
        <w:rPr>
          <w:rFonts w:eastAsia="Calibri" w:cs="Calibri"/>
          <w:i/>
        </w:rPr>
        <w:tab/>
      </w:r>
      <w:r w:rsidR="0087448B">
        <w:t>Neto troškovi neravnoteže u relevantnoj godini</w:t>
      </w:r>
      <w:r w:rsidRPr="0012315E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t</w:t>
      </w:r>
    </w:p>
    <w:p w14:paraId="08BEDFA5" w14:textId="77777777" w:rsidR="00024C9E" w:rsidRPr="0012315E" w:rsidRDefault="00024C9E" w:rsidP="00564792">
      <w:pPr>
        <w:spacing w:after="0" w:line="240" w:lineRule="auto"/>
        <w:ind w:left="1710" w:hanging="720"/>
        <w:rPr>
          <w:rFonts w:ascii="Calibri" w:eastAsia="Calibri" w:hAnsi="Calibri" w:cs="Calibri"/>
          <w:i/>
        </w:rPr>
      </w:pPr>
    </w:p>
    <w:p w14:paraId="1D9684E0" w14:textId="6661D5CA" w:rsidR="00024C9E" w:rsidRPr="00614AA2" w:rsidRDefault="00024C9E" w:rsidP="00564792">
      <w:pPr>
        <w:pStyle w:val="ListParagraph"/>
        <w:spacing w:after="0" w:line="240" w:lineRule="auto"/>
        <w:ind w:left="1710" w:hanging="990"/>
        <w:rPr>
          <w:rFonts w:eastAsia="Calibri" w:cs="Calibri"/>
          <w:i/>
        </w:rPr>
      </w:pPr>
      <w:r w:rsidRPr="00B35EAB">
        <w:rPr>
          <w:rFonts w:eastAsia="Calibri" w:cs="Calibri"/>
          <w:i/>
        </w:rPr>
        <w:t>IMBF</w:t>
      </w:r>
      <w:r w:rsidRPr="00BE3DAB">
        <w:rPr>
          <w:rFonts w:eastAsia="Calibri" w:cs="Calibri"/>
          <w:i/>
          <w:vertAlign w:val="subscript"/>
        </w:rPr>
        <w:t xml:space="preserve">t </w:t>
      </w:r>
      <w:r w:rsidRPr="00B35EAB">
        <w:rPr>
          <w:rFonts w:eastAsia="Calibri" w:cs="Calibri"/>
          <w:i/>
        </w:rPr>
        <w:t xml:space="preserve">    </w:t>
      </w:r>
      <w:r>
        <w:rPr>
          <w:rFonts w:eastAsia="Calibri" w:cs="Calibri"/>
          <w:i/>
        </w:rPr>
        <w:tab/>
      </w:r>
      <w:r w:rsidR="0087448B">
        <w:t xml:space="preserve">Faktor podele neravnoteže u relevantnoj godini </w:t>
      </w:r>
      <w:r w:rsidRPr="00B35EAB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t</w:t>
      </w:r>
    </w:p>
    <w:p w14:paraId="3274473D" w14:textId="77777777" w:rsidR="00024C9E" w:rsidRPr="00614AA2" w:rsidRDefault="00024C9E" w:rsidP="00564792">
      <w:pPr>
        <w:pStyle w:val="ListParagraph"/>
        <w:spacing w:after="0" w:line="240" w:lineRule="auto"/>
        <w:ind w:left="1710" w:hanging="720"/>
        <w:rPr>
          <w:rFonts w:eastAsia="Calibri" w:cs="Calibri"/>
          <w:i/>
        </w:rPr>
      </w:pPr>
    </w:p>
    <w:p w14:paraId="31DDBC0A" w14:textId="44030883" w:rsidR="00024C9E" w:rsidRDefault="00024C9E" w:rsidP="00564792">
      <w:pPr>
        <w:pStyle w:val="ListParagraph"/>
        <w:spacing w:after="0" w:line="240" w:lineRule="auto"/>
        <w:ind w:left="1710" w:hanging="990"/>
        <w:rPr>
          <w:rFonts w:eastAsia="Calibri" w:cs="Calibri"/>
          <w:i/>
          <w:spacing w:val="1"/>
        </w:rPr>
      </w:pPr>
      <w:r w:rsidRPr="00B35EAB">
        <w:rPr>
          <w:rFonts w:eastAsia="Calibri" w:cs="Calibri"/>
          <w:i/>
        </w:rPr>
        <w:t>RE</w:t>
      </w:r>
      <w:r w:rsidRPr="00B35EAB">
        <w:rPr>
          <w:rFonts w:eastAsia="Calibri" w:cs="Calibri"/>
          <w:i/>
          <w:spacing w:val="1"/>
        </w:rPr>
        <w:t>TM</w:t>
      </w:r>
      <w:r w:rsidRPr="00B35EAB">
        <w:rPr>
          <w:rFonts w:eastAsia="Calibri" w:cs="Calibri"/>
          <w:i/>
          <w:position w:val="-3"/>
          <w:sz w:val="14"/>
          <w:szCs w:val="14"/>
        </w:rPr>
        <w:t xml:space="preserve">t       </w:t>
      </w:r>
      <w:r>
        <w:rPr>
          <w:rFonts w:eastAsia="Calibri" w:cs="Calibri"/>
          <w:i/>
          <w:position w:val="-3"/>
          <w:sz w:val="14"/>
          <w:szCs w:val="14"/>
        </w:rPr>
        <w:tab/>
      </w:r>
      <w:r w:rsidR="0087448B">
        <w:t>Maloprodajna marža u relevantnoj godini</w:t>
      </w:r>
      <w:r w:rsidRPr="00B35EAB">
        <w:rPr>
          <w:rFonts w:eastAsia="Calibri" w:cs="Calibri"/>
          <w:i/>
          <w:spacing w:val="-1"/>
        </w:rPr>
        <w:t xml:space="preserve"> </w:t>
      </w:r>
      <w:r w:rsidRPr="00B35EAB">
        <w:rPr>
          <w:rFonts w:eastAsia="Calibri" w:cs="Calibri"/>
          <w:i/>
        </w:rPr>
        <w:t>t</w:t>
      </w:r>
      <w:r w:rsidRPr="00B35EAB">
        <w:rPr>
          <w:rFonts w:eastAsia="Calibri" w:cs="Calibri"/>
          <w:i/>
          <w:spacing w:val="1"/>
        </w:rPr>
        <w:t xml:space="preserve"> </w:t>
      </w:r>
    </w:p>
    <w:p w14:paraId="22838D0C" w14:textId="77777777" w:rsidR="000458E8" w:rsidRDefault="000458E8" w:rsidP="000458E8">
      <w:pPr>
        <w:spacing w:after="0"/>
        <w:rPr>
          <w:rFonts w:eastAsia="Calibri" w:cs="Calibri"/>
        </w:rPr>
      </w:pPr>
    </w:p>
    <w:p w14:paraId="436A5FFB" w14:textId="77777777" w:rsidR="0087448B" w:rsidRDefault="0087448B" w:rsidP="00FB0610">
      <w:pPr>
        <w:spacing w:after="0"/>
        <w:jc w:val="both"/>
        <w:rPr>
          <w:rFonts w:eastAsia="Calibri" w:cs="Calibri"/>
        </w:rPr>
      </w:pPr>
    </w:p>
    <w:p w14:paraId="62F10A94" w14:textId="77777777" w:rsidR="0087448B" w:rsidRDefault="0087448B" w:rsidP="00FB0610">
      <w:pPr>
        <w:spacing w:after="0"/>
        <w:jc w:val="both"/>
        <w:rPr>
          <w:rFonts w:eastAsia="Calibri" w:cs="Calibri"/>
        </w:rPr>
      </w:pPr>
    </w:p>
    <w:p w14:paraId="542FCD45" w14:textId="77777777" w:rsidR="0087448B" w:rsidRDefault="0087448B" w:rsidP="00FB0610">
      <w:pPr>
        <w:spacing w:after="0"/>
        <w:jc w:val="both"/>
        <w:rPr>
          <w:rFonts w:eastAsia="Calibri" w:cs="Calibri"/>
        </w:rPr>
      </w:pPr>
    </w:p>
    <w:p w14:paraId="2BC6CECA" w14:textId="0B451F2C" w:rsidR="00942C62" w:rsidRDefault="009E231A" w:rsidP="00FB0610">
      <w:pPr>
        <w:spacing w:after="0"/>
        <w:jc w:val="both"/>
        <w:rPr>
          <w:rFonts w:eastAsia="Calibri" w:cs="Calibri"/>
        </w:rPr>
      </w:pPr>
      <w:r w:rsidRPr="009E231A">
        <w:rPr>
          <w:rFonts w:eastAsia="Calibri" w:cs="Calibri"/>
        </w:rPr>
        <w:t>Rezime veleprodajnih troškova predviđenih za 2021. godinu</w:t>
      </w:r>
      <w:r w:rsidR="00F379A9">
        <w:rPr>
          <w:rFonts w:eastAsia="Calibri" w:cs="Calibri"/>
        </w:rPr>
        <w:t>:</w:t>
      </w:r>
    </w:p>
    <w:p w14:paraId="193828B9" w14:textId="77777777" w:rsidR="00526E92" w:rsidRDefault="00526E92" w:rsidP="00FB0610">
      <w:pPr>
        <w:spacing w:after="0"/>
        <w:jc w:val="both"/>
        <w:rPr>
          <w:rFonts w:eastAsia="Calibri" w:cs="Calibri"/>
        </w:rPr>
      </w:pPr>
    </w:p>
    <w:p w14:paraId="06C56B72" w14:textId="77777777" w:rsidR="00BF21DC" w:rsidRDefault="00BF21DC" w:rsidP="00FB0610">
      <w:pPr>
        <w:spacing w:after="0"/>
        <w:jc w:val="both"/>
        <w:rPr>
          <w:rFonts w:eastAsia="Calibri" w:cs="Calibri"/>
        </w:rPr>
      </w:pPr>
    </w:p>
    <w:p w14:paraId="04F7F587" w14:textId="7325B7C9" w:rsidR="00AD630F" w:rsidRPr="005129C7" w:rsidRDefault="00AD630F" w:rsidP="00AD630F">
      <w:pPr>
        <w:tabs>
          <w:tab w:val="left" w:pos="3218"/>
        </w:tabs>
        <w:spacing w:after="0"/>
        <w:jc w:val="center"/>
        <w:rPr>
          <w:b/>
          <w:i/>
          <w:color w:val="17365D" w:themeColor="text2" w:themeShade="BF"/>
        </w:rPr>
      </w:pPr>
      <w:r w:rsidRPr="00526E92">
        <w:rPr>
          <w:b/>
          <w:i/>
          <w:color w:val="17365D" w:themeColor="text2" w:themeShade="BF"/>
        </w:rPr>
        <w:t xml:space="preserve">Tabela 2: </w:t>
      </w:r>
      <w:r w:rsidR="009E231A" w:rsidRPr="009E231A">
        <w:rPr>
          <w:b/>
          <w:i/>
          <w:color w:val="17365D" w:themeColor="text2" w:themeShade="BF"/>
        </w:rPr>
        <w:t>Kupovina energije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18"/>
        <w:gridCol w:w="1347"/>
        <w:gridCol w:w="1011"/>
        <w:gridCol w:w="1453"/>
      </w:tblGrid>
      <w:tr w:rsidR="00AD630F" w:rsidRPr="00AD630F" w14:paraId="5656E279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3792DCDD" w14:textId="1E620533" w:rsidR="00AD630F" w:rsidRPr="00AD630F" w:rsidRDefault="00FC0AD7" w:rsidP="00AD630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Troškovi kupovine energije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182FD331" w14:textId="77777777" w:rsidR="00AD630F" w:rsidRPr="00AD630F" w:rsidRDefault="00AD630F" w:rsidP="007A7B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G</w:t>
            </w:r>
            <w:r w:rsidR="00C6478E">
              <w:rPr>
                <w:rFonts w:eastAsia="Times New Roman" w:cstheme="minorHAnsi"/>
                <w:b/>
                <w:bCs/>
                <w:color w:val="FFFFFF"/>
              </w:rPr>
              <w:t>W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>h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7DC5CE85" w14:textId="77777777" w:rsidR="00AD630F" w:rsidRPr="00AD630F" w:rsidRDefault="00AD630F" w:rsidP="007A7B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€/M</w:t>
            </w:r>
            <w:r w:rsidR="00C6478E">
              <w:rPr>
                <w:rFonts w:eastAsia="Times New Roman" w:cstheme="minorHAnsi"/>
                <w:b/>
                <w:bCs/>
                <w:color w:val="FFFFFF"/>
              </w:rPr>
              <w:t>W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>h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2890CEB6" w14:textId="77777777" w:rsidR="00AD630F" w:rsidRPr="00AD630F" w:rsidRDefault="00AD630F" w:rsidP="007A7B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€'000</w:t>
            </w:r>
          </w:p>
        </w:tc>
      </w:tr>
      <w:tr w:rsidR="00466297" w:rsidRPr="00AD630F" w14:paraId="0227A127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2B4D" w14:textId="002D4C7D" w:rsidR="00466297" w:rsidRPr="00AD630F" w:rsidRDefault="00FC0AD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Isporučene količine od KEK-a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8FFAB" w14:textId="662E826B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</w:t>
            </w:r>
            <w:r>
              <w:rPr>
                <w:rFonts w:eastAsia="Times New Roman" w:cstheme="minorHAnsi"/>
                <w:color w:val="000000"/>
              </w:rPr>
              <w:t>3,732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FCAA" w14:textId="77777777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29.50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F2C8" w14:textId="2D549173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</w:t>
            </w:r>
            <w:r>
              <w:rPr>
                <w:rFonts w:eastAsia="Times New Roman" w:cstheme="minorHAnsi"/>
                <w:color w:val="000000"/>
              </w:rPr>
              <w:t>110,098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66297" w:rsidRPr="00AD630F" w14:paraId="6C885229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F503" w14:textId="0B1B3958" w:rsidR="00466297" w:rsidRPr="00AD630F" w:rsidRDefault="00FC0AD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G</w:t>
            </w:r>
            <w:r>
              <w:t>eneratori na nivou OPS-a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D5580" w14:textId="51398F8A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5DF14" w14:textId="11431408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41.90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B1FF" w14:textId="0968EE4B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9,034</w:t>
            </w:r>
          </w:p>
        </w:tc>
      </w:tr>
      <w:tr w:rsidR="00466297" w:rsidRPr="00AD630F" w14:paraId="4E26F048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D685" w14:textId="54F132F3" w:rsidR="00466297" w:rsidRPr="00AD630F" w:rsidRDefault="00FC0AD7" w:rsidP="00FC0AD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 xml:space="preserve">Generatori na nivou ODS-a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68E3F" w14:textId="69928D12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</w:rPr>
              <w:t>199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BF03C" w14:textId="2F40D626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41.65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1678" w14:textId="2ED21A67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8,310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66297" w:rsidRPr="00AD630F" w14:paraId="00CFD5C0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C935" w14:textId="28E183D1" w:rsidR="00466297" w:rsidRPr="00AD630F" w:rsidRDefault="00FC0AD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Uvoz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FC1EF" w14:textId="0AD7C7B4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FB2D6" w14:textId="4618CB34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67.73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7A63" w14:textId="000023A2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5,645</w:t>
            </w:r>
            <w:r w:rsidRPr="00AD630F">
              <w:rPr>
                <w:rFonts w:eastAsia="Times New Roman" w:cstheme="minorHAnsi"/>
              </w:rPr>
              <w:t xml:space="preserve"> </w:t>
            </w:r>
          </w:p>
        </w:tc>
      </w:tr>
      <w:tr w:rsidR="00AD630F" w:rsidRPr="00AD630F" w14:paraId="04788501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7D98D" w14:textId="79F61BD6" w:rsidR="00AD630F" w:rsidRPr="00AD630F" w:rsidRDefault="00FC0AD7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Troškovi neravnoteže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D5E9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08DC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C91F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</w:tr>
      <w:tr w:rsidR="00AD630F" w:rsidRPr="00AD630F" w14:paraId="4A687BF4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2991" w14:textId="2D86D273" w:rsidR="00AD630F" w:rsidRPr="00AD630F" w:rsidRDefault="00FC0AD7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t>Faktor podele neravnoteže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E6DFB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E28A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B65B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</w:tr>
      <w:tr w:rsidR="00AD630F" w:rsidRPr="00AD630F" w14:paraId="734E5392" w14:textId="77777777" w:rsidTr="00466297">
        <w:trPr>
          <w:trHeight w:val="330"/>
          <w:jc w:val="center"/>
        </w:trPr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810A4" w14:textId="16C9917D" w:rsidR="00AD630F" w:rsidRPr="00FC0AD7" w:rsidRDefault="00FC0AD7" w:rsidP="00FC0AD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FC0AD7">
              <w:rPr>
                <w:b/>
              </w:rPr>
              <w:t>Ukupno isporučene količine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3249E" w14:textId="337F199C" w:rsidR="00AD630F" w:rsidRPr="00AD630F" w:rsidRDefault="00AD630F" w:rsidP="00665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           </w:t>
            </w:r>
            <w:r w:rsidR="0066504E">
              <w:rPr>
                <w:rFonts w:eastAsia="Times New Roman" w:cstheme="minorHAnsi"/>
                <w:b/>
                <w:bCs/>
              </w:rPr>
              <w:t>4,</w:t>
            </w:r>
            <w:r w:rsidR="00466297">
              <w:rPr>
                <w:rFonts w:eastAsia="Times New Roman" w:cstheme="minorHAnsi"/>
                <w:b/>
                <w:bCs/>
              </w:rPr>
              <w:t>231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08E5A" w14:textId="6B4C6F9A" w:rsidR="00AD630F" w:rsidRPr="00AD630F" w:rsidRDefault="0066504E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</w:t>
            </w:r>
            <w:r w:rsidR="00466297">
              <w:rPr>
                <w:rFonts w:eastAsia="Times New Roman" w:cstheme="minorHAnsi"/>
                <w:b/>
                <w:bCs/>
              </w:rPr>
              <w:t>1</w:t>
            </w:r>
            <w:r>
              <w:rPr>
                <w:rFonts w:eastAsia="Times New Roman" w:cstheme="minorHAnsi"/>
                <w:b/>
                <w:bCs/>
              </w:rPr>
              <w:t>.5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1DB14" w14:textId="54FBE784" w:rsidR="00AD630F" w:rsidRPr="00AD630F" w:rsidRDefault="00E322B1" w:rsidP="00665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</w:t>
            </w:r>
            <w:r w:rsidR="0066504E">
              <w:rPr>
                <w:rFonts w:eastAsia="Times New Roman" w:cstheme="minorHAnsi"/>
                <w:b/>
                <w:bCs/>
              </w:rPr>
              <w:t>13</w:t>
            </w:r>
            <w:r w:rsidR="00466297">
              <w:rPr>
                <w:rFonts w:eastAsia="Times New Roman" w:cstheme="minorHAnsi"/>
                <w:b/>
                <w:bCs/>
              </w:rPr>
              <w:t>3</w:t>
            </w:r>
            <w:r w:rsidR="0066504E">
              <w:rPr>
                <w:rFonts w:eastAsia="Times New Roman" w:cstheme="minorHAnsi"/>
                <w:b/>
                <w:bCs/>
              </w:rPr>
              <w:t>,</w:t>
            </w:r>
            <w:r w:rsidR="00466297">
              <w:rPr>
                <w:rFonts w:eastAsia="Times New Roman" w:cstheme="minorHAnsi"/>
                <w:b/>
                <w:bCs/>
              </w:rPr>
              <w:t>086</w:t>
            </w:r>
          </w:p>
        </w:tc>
      </w:tr>
      <w:tr w:rsidR="00AD630F" w:rsidRPr="00AD630F" w14:paraId="51524D60" w14:textId="77777777" w:rsidTr="00466297">
        <w:trPr>
          <w:trHeight w:val="152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08EB" w14:textId="747749EF" w:rsidR="00AD630F" w:rsidRPr="00AD630F" w:rsidRDefault="00FC0AD7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>
              <w:t>Maloprodajna marža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E307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D8491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3.00%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A6C9" w14:textId="09EEED94" w:rsidR="00AD630F" w:rsidRPr="00AD630F" w:rsidRDefault="00564792" w:rsidP="00FB240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</w:t>
            </w:r>
            <w:r w:rsidR="00FB2401">
              <w:rPr>
                <w:rFonts w:eastAsia="Times New Roman" w:cstheme="minorHAnsi"/>
              </w:rPr>
              <w:t>3,9</w:t>
            </w:r>
            <w:r w:rsidR="00466297">
              <w:rPr>
                <w:rFonts w:eastAsia="Times New Roman" w:cstheme="minorHAnsi"/>
              </w:rPr>
              <w:t>93</w:t>
            </w:r>
          </w:p>
        </w:tc>
      </w:tr>
      <w:tr w:rsidR="00AD630F" w:rsidRPr="00AD630F" w14:paraId="32D9DB8A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5D6F4C57" w14:textId="11EBAD2F" w:rsidR="00AD630F" w:rsidRPr="00AD630F" w:rsidRDefault="00FC0AD7" w:rsidP="00FC0AD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 Ukupni troškovi kupovine Energije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11D09819" w14:textId="5AE313AB" w:rsidR="00AD630F" w:rsidRPr="00AD630F" w:rsidRDefault="0066504E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4,</w:t>
            </w:r>
            <w:r w:rsidR="00466297">
              <w:rPr>
                <w:rFonts w:eastAsia="Times New Roman" w:cstheme="minorHAnsi"/>
                <w:b/>
                <w:bCs/>
                <w:color w:val="FFFFFF"/>
              </w:rPr>
              <w:t>231</w:t>
            </w:r>
            <w:r w:rsidR="00AD630F" w:rsidRPr="00AD630F">
              <w:rPr>
                <w:rFonts w:eastAsia="Times New Roman" w:cstheme="minorHAnsi"/>
                <w:b/>
                <w:bCs/>
                <w:color w:val="FFFFFF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0A67BF8B" w14:textId="3CB0F24E" w:rsidR="00AD630F" w:rsidRPr="00AD630F" w:rsidRDefault="00466297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32.4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492BDD69" w14:textId="7693B192" w:rsidR="00AD630F" w:rsidRPr="00AD630F" w:rsidRDefault="00564792" w:rsidP="00FB2401">
            <w:pPr>
              <w:spacing w:after="0" w:line="240" w:lineRule="auto"/>
              <w:ind w:left="113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        </w:t>
            </w:r>
            <w:r w:rsidR="00FB2401">
              <w:rPr>
                <w:rFonts w:eastAsia="Times New Roman" w:cstheme="minorHAnsi"/>
                <w:b/>
                <w:bCs/>
                <w:color w:val="FFFFFF"/>
              </w:rPr>
              <w:t>13</w:t>
            </w:r>
            <w:r w:rsidR="00466297">
              <w:rPr>
                <w:rFonts w:eastAsia="Times New Roman" w:cstheme="minorHAnsi"/>
                <w:b/>
                <w:bCs/>
                <w:color w:val="FFFFFF"/>
              </w:rPr>
              <w:t>7</w:t>
            </w:r>
            <w:r w:rsidR="00FB2401">
              <w:rPr>
                <w:rFonts w:eastAsia="Times New Roman" w:cstheme="minorHAnsi"/>
                <w:b/>
                <w:bCs/>
                <w:color w:val="FFFFFF"/>
              </w:rPr>
              <w:t>,</w:t>
            </w:r>
            <w:r w:rsidR="00466297">
              <w:rPr>
                <w:rFonts w:eastAsia="Times New Roman" w:cstheme="minorHAnsi"/>
                <w:b/>
                <w:bCs/>
                <w:color w:val="FFFFFF"/>
              </w:rPr>
              <w:t>079</w:t>
            </w:r>
          </w:p>
        </w:tc>
      </w:tr>
    </w:tbl>
    <w:p w14:paraId="6AC8012A" w14:textId="77777777" w:rsidR="002A2737" w:rsidRDefault="002A2737" w:rsidP="008E348A">
      <w:pPr>
        <w:pStyle w:val="Heading2"/>
        <w:numPr>
          <w:ilvl w:val="0"/>
          <w:numId w:val="0"/>
        </w:numPr>
      </w:pPr>
    </w:p>
    <w:p w14:paraId="15E1A5C4" w14:textId="47B55A25" w:rsidR="00920BFC" w:rsidRDefault="002F3191" w:rsidP="00920BFC">
      <w:pPr>
        <w:jc w:val="both"/>
      </w:pPr>
      <w:r>
        <w:t>Važno je napomenuti da je SUU u skladu sa Pravilom Prihoda SUU-a, odnosno članom 17 i Prilogom</w:t>
      </w:r>
      <w:r w:rsidRPr="002F3191">
        <w:t xml:space="preserve"> 3, dužan da snabdeva električnom energijom na transparentan, konkurentan i efikasa</w:t>
      </w:r>
      <w:r>
        <w:t>n način. Shodno tome, SUU treba</w:t>
      </w:r>
      <w:r w:rsidRPr="002F3191">
        <w:t xml:space="preserve"> pokazati da otkupne cene energije moraju biti razumne i u skladu sa zahtevim</w:t>
      </w:r>
      <w:r>
        <w:t>a člana 17. Pravila prihoda SUU</w:t>
      </w:r>
      <w:r w:rsidRPr="002F3191">
        <w:t xml:space="preserve"> -a.</w:t>
      </w:r>
    </w:p>
    <w:p w14:paraId="0CA10D46" w14:textId="07CB3C96" w:rsidR="00912D2F" w:rsidRDefault="002F3191" w:rsidP="00920BFC">
      <w:pPr>
        <w:jc w:val="both"/>
      </w:pPr>
      <w:r w:rsidRPr="002F3191">
        <w:t xml:space="preserve">U nedostatku takvih dokaza, RUE je u svojoj preliminarnoj proceni </w:t>
      </w:r>
      <w:r>
        <w:t>procenio troškove nabavke veleprodajne</w:t>
      </w:r>
      <w:r w:rsidRPr="002F3191">
        <w:t xml:space="preserve"> energije na osnovu trenutnih cena ostvarenih 2020. godine, ali tokom procesa jav</w:t>
      </w:r>
      <w:r>
        <w:t xml:space="preserve">nih konsultacija, strane treba </w:t>
      </w:r>
      <w:r w:rsidRPr="002F3191">
        <w:t>da poštuju gore navedene pr</w:t>
      </w:r>
      <w:r>
        <w:t>incipe i dokažu da su ispunjene</w:t>
      </w:r>
      <w:r w:rsidRPr="002F3191">
        <w:t xml:space="preserve"> svi zakonski, regulatorni i proceduralni zahtevi koji se odnose na kupovinu </w:t>
      </w:r>
      <w:r>
        <w:t>veleprodajne</w:t>
      </w:r>
      <w:r w:rsidRPr="002F3191">
        <w:t xml:space="preserve"> energije</w:t>
      </w:r>
      <w:r>
        <w:t>.</w:t>
      </w:r>
      <w:r w:rsidRPr="002F3191">
        <w:t xml:space="preserve"> </w:t>
      </w:r>
    </w:p>
    <w:p w14:paraId="1986EB55" w14:textId="325398AB" w:rsidR="000D4BEB" w:rsidRPr="003A4BA9" w:rsidRDefault="00D95B9A" w:rsidP="00FD6318">
      <w:pPr>
        <w:pStyle w:val="Heading2"/>
      </w:pPr>
      <w:bookmarkStart w:id="1" w:name="_Toc80690016"/>
      <w:r>
        <w:t>Us</w:t>
      </w:r>
      <w:r>
        <w:t>klađivanja prihoda za 2020</w:t>
      </w:r>
      <w:r>
        <w:t>. godinu</w:t>
      </w:r>
      <w:bookmarkEnd w:id="1"/>
    </w:p>
    <w:p w14:paraId="67FED87E" w14:textId="703FF988" w:rsidR="000D4BEB" w:rsidRDefault="00E1137B" w:rsidP="000D4BEB">
      <w:pPr>
        <w:jc w:val="both"/>
      </w:pPr>
      <w:r>
        <w:t>Za vršenje usklađivanja za 2020</w:t>
      </w:r>
      <w:r>
        <w:t>. godinu koje će biti primenjene prilikom</w:t>
      </w:r>
      <w:r>
        <w:t xml:space="preserve"> utvrđivanja MAR-a SUU-a za 2021</w:t>
      </w:r>
      <w:r>
        <w:t xml:space="preserve">. godinu, prvo treba </w:t>
      </w:r>
      <w:r>
        <w:t>iz</w:t>
      </w:r>
      <w:r>
        <w:t>vršiti procenu trenutnih troškova snabdevanja električnom energijom za potrošače SUU-a. Nakon procene ovih troškova treba odbiti ove troškove koji su rez</w:t>
      </w:r>
      <w:r>
        <w:t>ultirali od fakturisanja za 2020</w:t>
      </w:r>
      <w:r>
        <w:t>. godinu od primene tarifa</w:t>
      </w:r>
      <w:r>
        <w:t xml:space="preserve"> </w:t>
      </w:r>
      <w:r w:rsidRPr="00E1137B">
        <w:t>vrši se usklađivanje prihoda</w:t>
      </w:r>
      <w:r>
        <w:t>.</w:t>
      </w:r>
      <w:r w:rsidR="000D4BEB">
        <w:t xml:space="preserve"> </w:t>
      </w:r>
    </w:p>
    <w:p w14:paraId="36C457F4" w14:textId="7E7781F3" w:rsidR="000D4BEB" w:rsidRPr="003A4BA9" w:rsidRDefault="00E1137B" w:rsidP="000D4BEB">
      <w:pPr>
        <w:spacing w:before="120"/>
        <w:jc w:val="both"/>
      </w:pPr>
      <w:r>
        <w:t>Razlika između procenjenih</w:t>
      </w:r>
      <w:r>
        <w:t xml:space="preserve"> troškova od strane RUE-a za 2020</w:t>
      </w:r>
      <w:r>
        <w:t xml:space="preserve">. godinu i realizovanih prihoda od strane SUU-a tokom istog perioda obračunata je prema sledećoj formuli: </w:t>
      </w:r>
    </w:p>
    <w:p w14:paraId="256F00FC" w14:textId="77777777" w:rsidR="000D4BEB" w:rsidRPr="003A4BA9" w:rsidRDefault="000D4BEB" w:rsidP="000D4BEB">
      <w:pPr>
        <w:pStyle w:val="Equation"/>
        <w:ind w:left="2835" w:hanging="1701"/>
        <w:jc w:val="both"/>
      </w:pPr>
      <w:r>
        <w:t>ADJ</w:t>
      </w:r>
      <w:r w:rsidRPr="003A4BA9">
        <w:rPr>
          <w:vertAlign w:val="subscript"/>
        </w:rPr>
        <w:t>t</w:t>
      </w:r>
      <w:r w:rsidRPr="003A4BA9">
        <w:t xml:space="preserve"> = (AAC</w:t>
      </w:r>
      <w:r w:rsidRPr="003A4BA9">
        <w:rPr>
          <w:vertAlign w:val="subscript"/>
        </w:rPr>
        <w:t>at</w:t>
      </w:r>
      <w:r w:rsidRPr="003A4BA9">
        <w:t>-</w:t>
      </w:r>
      <w:r w:rsidRPr="003A4BA9">
        <w:rPr>
          <w:vertAlign w:val="subscript"/>
        </w:rPr>
        <w:t>1</w:t>
      </w:r>
      <w:r w:rsidRPr="003A4BA9">
        <w:t xml:space="preserve"> – ARR</w:t>
      </w:r>
      <w:r w:rsidRPr="003A4BA9">
        <w:rPr>
          <w:vertAlign w:val="subscript"/>
        </w:rPr>
        <w:t xml:space="preserve">t-1) </w:t>
      </w:r>
      <w:r w:rsidRPr="003A4BA9">
        <w:t>* (1+ I</w:t>
      </w:r>
      <w:r w:rsidRPr="003A4BA9">
        <w:rPr>
          <w:vertAlign w:val="subscript"/>
        </w:rPr>
        <w:t>t</w:t>
      </w:r>
      <w:r w:rsidRPr="003A4BA9">
        <w:t xml:space="preserve">) </w:t>
      </w:r>
    </w:p>
    <w:p w14:paraId="2E85991E" w14:textId="77777777" w:rsidR="000D4BEB" w:rsidRPr="003A4BA9" w:rsidRDefault="000D4BEB" w:rsidP="000D4BEB">
      <w:pPr>
        <w:pStyle w:val="Equation"/>
        <w:ind w:left="2835" w:hanging="1701"/>
        <w:jc w:val="both"/>
      </w:pPr>
      <w:r w:rsidRPr="003A4BA9">
        <w:t xml:space="preserve">Ku janë: </w:t>
      </w:r>
    </w:p>
    <w:p w14:paraId="564FD802" w14:textId="5D1F3BB7" w:rsidR="000D4BEB" w:rsidRDefault="000D4BEB" w:rsidP="000D4BEB">
      <w:pPr>
        <w:pStyle w:val="Equation"/>
        <w:ind w:left="2835" w:hanging="1701"/>
        <w:jc w:val="both"/>
        <w:rPr>
          <w:rFonts w:eastAsia="Calibri" w:cs="Calibri"/>
          <w:szCs w:val="22"/>
        </w:rPr>
      </w:pPr>
      <w:r w:rsidRPr="003A4BA9">
        <w:t>AAC</w:t>
      </w:r>
      <w:r w:rsidRPr="003A4BA9">
        <w:rPr>
          <w:vertAlign w:val="subscript"/>
        </w:rPr>
        <w:t xml:space="preserve">at-1 </w:t>
      </w:r>
      <w:r w:rsidRPr="003A4BA9">
        <w:tab/>
      </w:r>
      <w:r w:rsidR="00E1137B">
        <w:t>Aktuelni odobreni prihodi SUU-a za relevantnu godinu</w:t>
      </w:r>
      <w:r>
        <w:rPr>
          <w:rFonts w:eastAsia="Calibri" w:cs="Calibri"/>
          <w:szCs w:val="22"/>
        </w:rPr>
        <w:t xml:space="preserve"> t </w:t>
      </w:r>
    </w:p>
    <w:p w14:paraId="501EA2D6" w14:textId="3D8ACB5B" w:rsidR="000D4BEB" w:rsidRDefault="000D4BEB" w:rsidP="000D4BEB">
      <w:pPr>
        <w:pStyle w:val="Equation"/>
        <w:ind w:left="2835" w:hanging="1701"/>
        <w:jc w:val="both"/>
        <w:rPr>
          <w:rFonts w:eastAsia="Calibri" w:cs="Calibri"/>
          <w:szCs w:val="22"/>
        </w:rPr>
      </w:pPr>
      <w:r w:rsidRPr="003A4BA9">
        <w:t>ARR</w:t>
      </w:r>
      <w:r w:rsidRPr="003A4BA9">
        <w:rPr>
          <w:vertAlign w:val="subscript"/>
        </w:rPr>
        <w:t xml:space="preserve">t-1 </w:t>
      </w:r>
      <w:r w:rsidRPr="003A4BA9">
        <w:tab/>
      </w:r>
      <w:r w:rsidR="00E1137B">
        <w:t>Aktuelni regulisani prihodi tokom relevantne godine</w:t>
      </w:r>
      <w:r w:rsidR="00E1137B" w:rsidRPr="00E96FEF">
        <w:rPr>
          <w:rFonts w:eastAsia="Calibri" w:cs="Calibri"/>
          <w:szCs w:val="22"/>
        </w:rPr>
        <w:t xml:space="preserve"> </w:t>
      </w:r>
      <w:r w:rsidRPr="0012315E">
        <w:rPr>
          <w:rFonts w:eastAsia="Calibri" w:cs="Calibri"/>
          <w:szCs w:val="22"/>
        </w:rPr>
        <w:t>t</w:t>
      </w:r>
      <w:r w:rsidRPr="00E96FEF">
        <w:rPr>
          <w:rFonts w:eastAsia="Calibri" w:cs="Calibri"/>
          <w:szCs w:val="22"/>
        </w:rPr>
        <w:t>-</w:t>
      </w:r>
      <w:r w:rsidRPr="0012315E">
        <w:rPr>
          <w:rFonts w:eastAsia="Calibri" w:cs="Calibri"/>
          <w:szCs w:val="22"/>
        </w:rPr>
        <w:t xml:space="preserve">1 </w:t>
      </w:r>
    </w:p>
    <w:p w14:paraId="4259CAFA" w14:textId="255823C5" w:rsidR="000D4BEB" w:rsidRPr="003A4BA9" w:rsidRDefault="000D4BEB" w:rsidP="000D4BEB">
      <w:pPr>
        <w:pStyle w:val="Equation"/>
        <w:ind w:left="2835" w:hanging="1701"/>
        <w:jc w:val="both"/>
        <w:rPr>
          <w:rFonts w:cs="Calibri"/>
        </w:rPr>
      </w:pPr>
      <w:r w:rsidRPr="003A4BA9">
        <w:rPr>
          <w:rFonts w:cs="Calibri"/>
        </w:rPr>
        <w:t>I</w:t>
      </w:r>
      <w:r w:rsidRPr="003A4BA9">
        <w:rPr>
          <w:rFonts w:cs="Calibri"/>
          <w:vertAlign w:val="subscript"/>
        </w:rPr>
        <w:t>t</w:t>
      </w:r>
      <w:r w:rsidRPr="003A4BA9">
        <w:rPr>
          <w:rFonts w:cs="Calibri"/>
        </w:rPr>
        <w:tab/>
      </w:r>
      <w:r w:rsidR="00E1137B">
        <w:t>Kamatna stopa za relevantnu godinu t, koja se obračuna na osnovu EURIBOR-a plus S%, gde S predstavlja utvrđeni iznos od strane RUE-a prilikom periodičnih izveštaja koji odražava isplativu premiju od strane licenciranog subjekta za kratkoročne kredite</w:t>
      </w:r>
      <w:r w:rsidR="00E1137B">
        <w:t>.</w:t>
      </w:r>
    </w:p>
    <w:p w14:paraId="09CCAD7E" w14:textId="20573B17" w:rsidR="00A078DB" w:rsidRDefault="00E1137B" w:rsidP="00AD630F">
      <w:pPr>
        <w:jc w:val="both"/>
      </w:pPr>
      <w:r>
        <w:t>Iznos usklađivanja za 2020</w:t>
      </w:r>
      <w:r>
        <w:t>. godinu nakon indeksira</w:t>
      </w:r>
      <w:r>
        <w:t>nja inflacije koja rezultira 6.8 miliona E</w:t>
      </w:r>
      <w:r>
        <w:t xml:space="preserve">vra. </w:t>
      </w:r>
      <w:r w:rsidR="000D4BEB">
        <w:t xml:space="preserve"> </w:t>
      </w:r>
    </w:p>
    <w:p w14:paraId="0C2877FE" w14:textId="504B04AC" w:rsidR="000D4BEB" w:rsidRPr="005129C7" w:rsidRDefault="000D4BEB" w:rsidP="000D4BEB">
      <w:pPr>
        <w:tabs>
          <w:tab w:val="left" w:pos="3218"/>
        </w:tabs>
        <w:spacing w:after="0"/>
        <w:jc w:val="center"/>
        <w:rPr>
          <w:b/>
          <w:i/>
          <w:color w:val="17365D" w:themeColor="text2" w:themeShade="BF"/>
        </w:rPr>
      </w:pPr>
      <w:r w:rsidRPr="00526E92">
        <w:rPr>
          <w:b/>
          <w:i/>
          <w:color w:val="17365D" w:themeColor="text2" w:themeShade="BF"/>
        </w:rPr>
        <w:lastRenderedPageBreak/>
        <w:t xml:space="preserve">Tabela </w:t>
      </w:r>
      <w:r w:rsidR="00724223" w:rsidRPr="00526E92">
        <w:rPr>
          <w:b/>
          <w:i/>
          <w:color w:val="17365D" w:themeColor="text2" w:themeShade="BF"/>
        </w:rPr>
        <w:t>3</w:t>
      </w:r>
      <w:r w:rsidRPr="00526E92">
        <w:rPr>
          <w:b/>
          <w:i/>
          <w:color w:val="17365D" w:themeColor="text2" w:themeShade="BF"/>
        </w:rPr>
        <w:t xml:space="preserve">: </w:t>
      </w:r>
      <w:r w:rsidR="00A2584C">
        <w:rPr>
          <w:b/>
          <w:i/>
          <w:color w:val="17365D" w:themeColor="text2" w:themeShade="BF"/>
        </w:rPr>
        <w:t>Uskla</w:t>
      </w:r>
      <w:r w:rsidR="00A2584C">
        <w:rPr>
          <w:rFonts w:cstheme="minorHAnsi"/>
          <w:b/>
          <w:i/>
          <w:color w:val="17365D" w:themeColor="text2" w:themeShade="BF"/>
        </w:rPr>
        <w:t>đ</w:t>
      </w:r>
      <w:r w:rsidR="00A2584C">
        <w:rPr>
          <w:b/>
          <w:i/>
          <w:color w:val="17365D" w:themeColor="text2" w:themeShade="BF"/>
        </w:rPr>
        <w:t>ivanja za</w:t>
      </w:r>
      <w:r w:rsidR="00E322B1" w:rsidRPr="00526E92">
        <w:rPr>
          <w:b/>
          <w:i/>
          <w:color w:val="17365D" w:themeColor="text2" w:themeShade="BF"/>
        </w:rPr>
        <w:t xml:space="preserve"> 20</w:t>
      </w:r>
      <w:r w:rsidR="00CB4322" w:rsidRPr="00526E92">
        <w:rPr>
          <w:b/>
          <w:i/>
          <w:color w:val="17365D" w:themeColor="text2" w:themeShade="BF"/>
        </w:rPr>
        <w:t>20</w:t>
      </w:r>
      <w:r w:rsidR="00A2584C">
        <w:rPr>
          <w:b/>
          <w:i/>
          <w:color w:val="17365D" w:themeColor="text2" w:themeShade="BF"/>
        </w:rPr>
        <w:t xml:space="preserve"> godinu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916"/>
        <w:gridCol w:w="778"/>
      </w:tblGrid>
      <w:tr w:rsidR="00960892" w:rsidRPr="00960892" w14:paraId="175F6EEC" w14:textId="77777777" w:rsidTr="000D4BEB">
        <w:trPr>
          <w:trHeight w:val="51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00E1D" w14:textId="0618CB03" w:rsidR="00960892" w:rsidRPr="00A2584C" w:rsidRDefault="00A2584C" w:rsidP="00960892">
            <w:pPr>
              <w:spacing w:after="0" w:line="240" w:lineRule="auto"/>
              <w:rPr>
                <w:rFonts w:cstheme="minorHAnsi"/>
                <w:b/>
                <w:bCs/>
                <w:color w:val="FFFFFF"/>
              </w:rPr>
            </w:pPr>
            <w:r w:rsidRPr="00A2584C">
              <w:rPr>
                <w:b/>
              </w:rPr>
              <w:t>MAR Snabdevača Univerzalnom U</w:t>
            </w:r>
            <w:r w:rsidRPr="00A2584C">
              <w:rPr>
                <w:b/>
              </w:rPr>
              <w:t>slugom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22E9" w14:textId="2A0A0E41" w:rsidR="00960892" w:rsidRPr="00960892" w:rsidRDefault="00A2584C" w:rsidP="009608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Jedinica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A1D36" w14:textId="3D596C0E" w:rsidR="00960892" w:rsidRPr="00960892" w:rsidRDefault="00960892" w:rsidP="0066504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20</w:t>
            </w:r>
            <w:r w:rsidR="004453A0">
              <w:rPr>
                <w:rFonts w:cstheme="minorHAnsi"/>
                <w:b/>
                <w:bCs/>
                <w:color w:val="FFFFFF"/>
              </w:rPr>
              <w:t>20</w:t>
            </w:r>
          </w:p>
        </w:tc>
      </w:tr>
      <w:tr w:rsidR="00960892" w:rsidRPr="00960892" w14:paraId="23EACC8B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F0018" w14:textId="33122662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Parametri indeksiranja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36092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C8A9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537608E1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BF7A" w14:textId="44AAFD99" w:rsidR="00960892" w:rsidRPr="00960892" w:rsidRDefault="00281C9E" w:rsidP="00960892">
            <w:pPr>
              <w:spacing w:after="0"/>
              <w:rPr>
                <w:rFonts w:cstheme="minorHAnsi"/>
              </w:rPr>
            </w:pPr>
            <w:r>
              <w:t>Kamatna stopa</w:t>
            </w:r>
            <w:r w:rsidR="00960892" w:rsidRPr="00960892">
              <w:rPr>
                <w:rFonts w:cstheme="minorHAnsi"/>
              </w:rPr>
              <w:t xml:space="preserve"> 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49AB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EE42" w14:textId="07741357" w:rsidR="00960892" w:rsidRPr="00960892" w:rsidRDefault="005904D0" w:rsidP="0096089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5.74</w:t>
            </w:r>
            <w:r w:rsidR="007C4CE3">
              <w:rPr>
                <w:rFonts w:cstheme="minorHAnsi"/>
              </w:rPr>
              <w:t>.</w:t>
            </w:r>
            <w:r w:rsidR="00960892" w:rsidRPr="00960892">
              <w:rPr>
                <w:rFonts w:cstheme="minorHAnsi"/>
              </w:rPr>
              <w:t>%</w:t>
            </w:r>
          </w:p>
        </w:tc>
      </w:tr>
      <w:tr w:rsidR="00960892" w:rsidRPr="00960892" w14:paraId="774BA4E4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94B3" w14:textId="6BDE714E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Maloprodajni troškovi snabdevača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885A0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B027F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66B36301" w14:textId="77777777" w:rsidTr="00960892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A841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OPEX - OPMC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 xml:space="preserve"> = OPMC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 xml:space="preserve"> * (1 + CPI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>) * (1 – E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>)* (1 – P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8EF8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9343" w14:textId="0049009D" w:rsidR="00960892" w:rsidRPr="00960892" w:rsidRDefault="005904D0" w:rsidP="007C4CE3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3466AB">
              <w:rPr>
                <w:rFonts w:cstheme="minorHAnsi"/>
              </w:rPr>
              <w:t>59</w:t>
            </w:r>
          </w:p>
        </w:tc>
      </w:tr>
      <w:tr w:rsidR="00960892" w:rsidRPr="00960892" w14:paraId="247FB898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C43" w14:textId="595F0741" w:rsidR="00960892" w:rsidRPr="00960892" w:rsidRDefault="00281C9E" w:rsidP="00960892">
            <w:pPr>
              <w:spacing w:after="0"/>
              <w:rPr>
                <w:rFonts w:cstheme="minorHAnsi"/>
              </w:rPr>
            </w:pPr>
            <w:r>
              <w:t>Amortizacija</w:t>
            </w:r>
            <w:r w:rsidR="00960892" w:rsidRPr="00960892">
              <w:rPr>
                <w:rFonts w:cstheme="minorHAnsi"/>
              </w:rPr>
              <w:t xml:space="preserve"> - DEPCt = DEPCt-1 * (1 + CPIt-1) * (1 – Pt)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51339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43FB" w14:textId="77777777" w:rsidR="00960892" w:rsidRPr="00960892" w:rsidRDefault="00E322B1" w:rsidP="0096089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</w:tr>
      <w:tr w:rsidR="00960892" w:rsidRPr="00960892" w14:paraId="449F5037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72D7" w14:textId="49EF33B2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Troškovi koji se prenose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770DA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157BA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67CF5AC1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5190F" w14:textId="0E00D6B7" w:rsidR="00960892" w:rsidRPr="00960892" w:rsidRDefault="00281C9E" w:rsidP="00960892">
            <w:pPr>
              <w:spacing w:after="0"/>
              <w:rPr>
                <w:rFonts w:cstheme="minorHAnsi"/>
              </w:rPr>
            </w:pPr>
            <w:r>
              <w:t>Troškovi OPS-a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2E70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5E4B" w14:textId="1C539C8D" w:rsidR="00960892" w:rsidRPr="00960892" w:rsidRDefault="007C4CE3" w:rsidP="0096089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904D0">
              <w:rPr>
                <w:rFonts w:cstheme="minorHAnsi"/>
              </w:rPr>
              <w:t>3.6</w:t>
            </w:r>
          </w:p>
        </w:tc>
      </w:tr>
      <w:tr w:rsidR="00960892" w:rsidRPr="00960892" w14:paraId="43F27E0F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9387" w14:textId="566D5C17" w:rsidR="00960892" w:rsidRPr="00960892" w:rsidRDefault="00281C9E" w:rsidP="00960892">
            <w:pPr>
              <w:spacing w:after="0"/>
              <w:rPr>
                <w:rFonts w:cstheme="minorHAnsi"/>
              </w:rPr>
            </w:pPr>
            <w:r>
              <w:t>Troškovi ODS-a</w:t>
            </w:r>
            <w:r>
              <w:rPr>
                <w:rFonts w:cstheme="minorHAnsi"/>
              </w:rPr>
              <w:t xml:space="preserve"> </w:t>
            </w:r>
            <w:r w:rsidR="008A3962">
              <w:rPr>
                <w:rFonts w:cstheme="minorHAnsi"/>
              </w:rPr>
              <w:t>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6DB8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71738" w14:textId="6ACEE833" w:rsidR="00960892" w:rsidRPr="00960892" w:rsidRDefault="007C4CE3" w:rsidP="00FB240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904D0">
              <w:rPr>
                <w:rFonts w:cstheme="minorHAnsi"/>
              </w:rPr>
              <w:t>0</w:t>
            </w:r>
            <w:r w:rsidR="00FB2401">
              <w:rPr>
                <w:rFonts w:cstheme="minorHAnsi"/>
              </w:rPr>
              <w:t>.</w:t>
            </w:r>
            <w:r w:rsidR="005904D0">
              <w:rPr>
                <w:rFonts w:cstheme="minorHAnsi"/>
              </w:rPr>
              <w:t>5</w:t>
            </w:r>
          </w:p>
        </w:tc>
      </w:tr>
      <w:tr w:rsidR="00BD79C2" w:rsidRPr="00526E92" w14:paraId="7AF4BB7D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E090" w14:textId="24861E84" w:rsidR="00BD79C2" w:rsidRPr="00960892" w:rsidRDefault="00281C9E" w:rsidP="00960892">
            <w:pPr>
              <w:spacing w:after="0"/>
              <w:rPr>
                <w:rFonts w:cstheme="minorHAnsi"/>
              </w:rPr>
            </w:pPr>
            <w:r>
              <w:t>Fond OIE</w:t>
            </w:r>
            <w:r>
              <w:rPr>
                <w:rFonts w:cstheme="minorHAnsi"/>
              </w:rPr>
              <w:t xml:space="preserve"> </w:t>
            </w:r>
            <w:r w:rsidR="008A3962">
              <w:rPr>
                <w:rFonts w:cstheme="minorHAnsi"/>
              </w:rPr>
              <w:t>**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5C95C" w14:textId="6D85C20A" w:rsidR="00BD79C2" w:rsidRPr="00960892" w:rsidRDefault="00054CBA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A881D" w14:textId="6D3C52B1" w:rsidR="00BD79C2" w:rsidRPr="00526E92" w:rsidRDefault="005904D0" w:rsidP="00960892">
            <w:pPr>
              <w:spacing w:after="0"/>
              <w:jc w:val="right"/>
              <w:rPr>
                <w:rFonts w:cstheme="minorHAnsi"/>
              </w:rPr>
            </w:pPr>
            <w:r w:rsidRPr="00526E92">
              <w:rPr>
                <w:rFonts w:cstheme="minorHAnsi"/>
              </w:rPr>
              <w:t>15.0</w:t>
            </w:r>
          </w:p>
        </w:tc>
      </w:tr>
      <w:tr w:rsidR="00960892" w:rsidRPr="00960892" w14:paraId="4B698A43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9AD76" w14:textId="34110747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Obrtni kapital</w:t>
            </w:r>
            <w:r w:rsidR="00960892" w:rsidRPr="00960892">
              <w:rPr>
                <w:rFonts w:cstheme="minorHAnsi"/>
                <w:bCs/>
              </w:rPr>
              <w:t xml:space="preserve"> (</w:t>
            </w:r>
            <w:r w:rsidR="00621E1C">
              <w:rPr>
                <w:rFonts w:cstheme="minorHAnsi"/>
                <w:bCs/>
              </w:rPr>
              <w:t>W</w:t>
            </w:r>
            <w:r w:rsidR="00960892" w:rsidRPr="00960892">
              <w:rPr>
                <w:rFonts w:cstheme="minorHAnsi"/>
                <w:bCs/>
              </w:rPr>
              <w:t>CLCt)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55DE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B02DC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460A0A84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A0C1A" w14:textId="77777777" w:rsidR="00960892" w:rsidRPr="00960892" w:rsidRDefault="002F329B" w:rsidP="00960892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="00960892" w:rsidRPr="00960892">
              <w:rPr>
                <w:rFonts w:cstheme="minorHAnsi"/>
                <w:color w:val="000000"/>
              </w:rPr>
              <w:t xml:space="preserve">CLC= (1 / 12) * It * (RETRt + </w:t>
            </w:r>
            <w:r>
              <w:rPr>
                <w:rFonts w:cstheme="minorHAnsi"/>
                <w:color w:val="000000"/>
              </w:rPr>
              <w:t>W</w:t>
            </w:r>
            <w:r w:rsidR="00960892" w:rsidRPr="00960892">
              <w:rPr>
                <w:rFonts w:cstheme="minorHAnsi"/>
                <w:color w:val="000000"/>
              </w:rPr>
              <w:t>HPCt + PSTCt - NTFRt)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EFA2A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00A5A" w14:textId="4D2D05E3" w:rsidR="00960892" w:rsidRPr="00960892" w:rsidRDefault="00960892" w:rsidP="00A46185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1.</w:t>
            </w:r>
            <w:r w:rsidR="005904D0">
              <w:rPr>
                <w:rFonts w:cstheme="minorHAnsi"/>
              </w:rPr>
              <w:t>6</w:t>
            </w:r>
          </w:p>
        </w:tc>
      </w:tr>
      <w:tr w:rsidR="00960892" w:rsidRPr="00960892" w14:paraId="35E13E1B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25268" w14:textId="63B280B0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Troškovi kupovine energije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1B33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4EF0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526E92" w14:paraId="39BC1A10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6163" w14:textId="2F1DB40C" w:rsidR="00960892" w:rsidRPr="00960892" w:rsidRDefault="00281C9E" w:rsidP="00960892">
            <w:pPr>
              <w:spacing w:after="0"/>
              <w:rPr>
                <w:rFonts w:cstheme="minorHAnsi"/>
              </w:rPr>
            </w:pPr>
            <w:r>
              <w:t>Veleprodajni troškovi kupovine energije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CC2B2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F530" w14:textId="197D7DBD" w:rsidR="00960892" w:rsidRPr="00526E92" w:rsidRDefault="008974BB" w:rsidP="008974BB">
            <w:pPr>
              <w:spacing w:after="0"/>
              <w:jc w:val="right"/>
              <w:rPr>
                <w:rFonts w:cstheme="minorHAnsi"/>
              </w:rPr>
            </w:pPr>
            <w:r w:rsidRPr="00526E92">
              <w:rPr>
                <w:rFonts w:cstheme="minorHAnsi"/>
              </w:rPr>
              <w:t>1</w:t>
            </w:r>
            <w:r w:rsidR="005904D0" w:rsidRPr="00526E92">
              <w:rPr>
                <w:rFonts w:cstheme="minorHAnsi"/>
              </w:rPr>
              <w:t>30.3</w:t>
            </w:r>
          </w:p>
        </w:tc>
      </w:tr>
      <w:tr w:rsidR="00960892" w:rsidRPr="00960892" w14:paraId="03C5BFF3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B9AC" w14:textId="41DCC73B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Taksa za licencu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B780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F964C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40C016B9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74B0" w14:textId="3AA07E13" w:rsidR="00960892" w:rsidRPr="00960892" w:rsidRDefault="00281C9E" w:rsidP="00960892">
            <w:pPr>
              <w:spacing w:after="0"/>
              <w:rPr>
                <w:rFonts w:cstheme="minorHAnsi"/>
                <w:color w:val="000000"/>
              </w:rPr>
            </w:pPr>
            <w:r>
              <w:t>Taksa za licencu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729B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78904" w14:textId="77777777" w:rsidR="00960892" w:rsidRPr="00960892" w:rsidRDefault="00960892" w:rsidP="00960892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0.</w:t>
            </w:r>
            <w:r w:rsidR="00BD79C2">
              <w:rPr>
                <w:rFonts w:cstheme="minorHAnsi"/>
              </w:rPr>
              <w:t>0</w:t>
            </w:r>
            <w:r w:rsidR="007D3345">
              <w:rPr>
                <w:rFonts w:cstheme="minorHAnsi"/>
              </w:rPr>
              <w:t>1</w:t>
            </w:r>
          </w:p>
        </w:tc>
      </w:tr>
      <w:tr w:rsidR="00960892" w:rsidRPr="00960892" w14:paraId="714F8B9E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4A0DC" w14:textId="0DF9FBE9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Loš dug</w:t>
            </w:r>
            <w:r w:rsidR="00960892" w:rsidRPr="00960892">
              <w:rPr>
                <w:rFonts w:cstheme="minorHAnsi"/>
                <w:bCs/>
              </w:rPr>
              <w:t xml:space="preserve"> (BDTA)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CFBF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D9239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377B21F2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C105B" w14:textId="77777777" w:rsidR="00960892" w:rsidRPr="00960892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C3286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12C0" w14:textId="77777777" w:rsidR="00960892" w:rsidRPr="00960892" w:rsidRDefault="00960892" w:rsidP="00960892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4%</w:t>
            </w:r>
          </w:p>
        </w:tc>
      </w:tr>
      <w:tr w:rsidR="00960892" w:rsidRPr="00960892" w14:paraId="7BE73456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24B9" w14:textId="77777777" w:rsidR="00960892" w:rsidRPr="00960892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77E95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00EDE" w14:textId="398CC534" w:rsidR="00960892" w:rsidRPr="00960892" w:rsidRDefault="005904D0" w:rsidP="007D3345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</w:t>
            </w:r>
          </w:p>
        </w:tc>
      </w:tr>
      <w:tr w:rsidR="00BD79C2" w:rsidRPr="00960892" w14:paraId="4715A4E2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FB157" w14:textId="5699DC49" w:rsidR="00BD79C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Usklađivanja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3383E" w14:textId="77777777" w:rsidR="00BD79C2" w:rsidRPr="00960892" w:rsidRDefault="00BD79C2" w:rsidP="00960892">
            <w:pPr>
              <w:spacing w:after="0"/>
              <w:rPr>
                <w:rFonts w:cstheme="minorHAns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149B5" w14:textId="77777777" w:rsidR="00BD79C2" w:rsidRPr="00960892" w:rsidRDefault="00BD79C2" w:rsidP="00960892">
            <w:pPr>
              <w:spacing w:after="0"/>
              <w:rPr>
                <w:rFonts w:cstheme="minorHAnsi"/>
                <w:bCs/>
              </w:rPr>
            </w:pPr>
          </w:p>
        </w:tc>
      </w:tr>
      <w:tr w:rsidR="00BD79C2" w:rsidRPr="00960892" w14:paraId="6F7656C0" w14:textId="77777777" w:rsidTr="00BD79C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3CF5" w14:textId="1E64DB02" w:rsidR="00BD79C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Usklađivanja</w:t>
            </w:r>
            <w:r w:rsidR="00BD79C2">
              <w:rPr>
                <w:rFonts w:cstheme="minorHAnsi"/>
                <w:bCs/>
              </w:rPr>
              <w:t xml:space="preserve"> 20</w:t>
            </w:r>
            <w:r w:rsidR="005904D0">
              <w:rPr>
                <w:rFonts w:cstheme="minorHAnsi"/>
                <w:bCs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4817" w14:textId="7215BEA9" w:rsidR="00BD79C2" w:rsidRPr="00960892" w:rsidRDefault="00054CBA" w:rsidP="00054CBA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85FF6" w14:textId="5E3651B5" w:rsidR="00BD79C2" w:rsidRPr="00960892" w:rsidRDefault="00BD79C2" w:rsidP="007C4CE3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5904D0">
              <w:rPr>
                <w:rFonts w:cstheme="minorHAnsi"/>
                <w:bCs/>
              </w:rPr>
              <w:t>12.2</w:t>
            </w:r>
          </w:p>
        </w:tc>
      </w:tr>
      <w:tr w:rsidR="00960892" w:rsidRPr="00960892" w14:paraId="560C1872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03A7" w14:textId="6A2D7B57" w:rsidR="00960892" w:rsidRPr="00960892" w:rsidRDefault="00281C9E" w:rsidP="00960892">
            <w:pPr>
              <w:spacing w:after="0"/>
              <w:rPr>
                <w:rFonts w:cstheme="minorHAnsi"/>
                <w:bCs/>
              </w:rPr>
            </w:pPr>
            <w:r>
              <w:t>Usklađivanja</w:t>
            </w:r>
            <w:r>
              <w:t xml:space="preserve"> prihoda za</w:t>
            </w:r>
            <w:r>
              <w:rPr>
                <w:rFonts w:cstheme="minorHAnsi"/>
                <w:bCs/>
              </w:rPr>
              <w:t xml:space="preserve"> SUU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F9E8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03C3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2D45D8E3" w14:textId="77777777" w:rsidTr="00960892">
        <w:trPr>
          <w:trHeight w:val="30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A7A1" w14:textId="73486AE8" w:rsidR="00960892" w:rsidRPr="00960892" w:rsidRDefault="00281C9E" w:rsidP="00960892">
            <w:pPr>
              <w:spacing w:after="0"/>
              <w:rPr>
                <w:rFonts w:cstheme="minorHAnsi"/>
                <w:color w:val="000000"/>
              </w:rPr>
            </w:pPr>
            <w:r>
              <w:t>MAR Snabdevača</w:t>
            </w:r>
            <w:r w:rsidR="00960892" w:rsidRPr="00960892">
              <w:rPr>
                <w:rFonts w:cstheme="minorHAnsi"/>
                <w:color w:val="000000"/>
              </w:rPr>
              <w:t xml:space="preserve"> AAC</w:t>
            </w:r>
            <w:r w:rsidR="00960892" w:rsidRPr="00960892">
              <w:rPr>
                <w:rFonts w:cstheme="minorHAnsi"/>
                <w:color w:val="000000"/>
                <w:vertAlign w:val="subscript"/>
              </w:rPr>
              <w:t xml:space="preserve">at-1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599A3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3ED5E" w14:textId="53E62859" w:rsidR="00960892" w:rsidRPr="00960892" w:rsidRDefault="00BD79C2" w:rsidP="00FB240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904D0">
              <w:rPr>
                <w:rFonts w:cstheme="minorHAnsi"/>
              </w:rPr>
              <w:t>74.</w:t>
            </w:r>
            <w:r w:rsidR="003466AB">
              <w:rPr>
                <w:rFonts w:cstheme="minorHAnsi"/>
              </w:rPr>
              <w:t>5</w:t>
            </w:r>
          </w:p>
        </w:tc>
      </w:tr>
      <w:tr w:rsidR="00960892" w:rsidRPr="00960892" w14:paraId="7AE63539" w14:textId="77777777" w:rsidTr="00960892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E369B" w14:textId="71C0E608" w:rsidR="00960892" w:rsidRPr="002439FD" w:rsidRDefault="00281C9E" w:rsidP="00960892">
            <w:pPr>
              <w:spacing w:after="0"/>
              <w:rPr>
                <w:rFonts w:cstheme="minorHAnsi"/>
                <w:color w:val="000000"/>
              </w:rPr>
            </w:pPr>
            <w:r>
              <w:t>Aktuelni prihodi od naplate</w:t>
            </w:r>
            <w:r w:rsidR="00960892" w:rsidRPr="00960892">
              <w:rPr>
                <w:rFonts w:cstheme="minorHAnsi"/>
                <w:color w:val="000000"/>
              </w:rPr>
              <w:t xml:space="preserve"> ARR</w:t>
            </w:r>
            <w:r w:rsidR="00960892"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="002439FD">
              <w:rPr>
                <w:rFonts w:cstheme="minorHAnsi"/>
                <w:color w:val="000000"/>
              </w:rPr>
              <w:t>***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D6B7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EE70" w14:textId="79BCE8E0" w:rsidR="00960892" w:rsidRPr="00960892" w:rsidRDefault="00BD79C2" w:rsidP="00960892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2439FD">
              <w:rPr>
                <w:rFonts w:cstheme="minorHAnsi"/>
                <w:color w:val="000000"/>
              </w:rPr>
              <w:t>68.7</w:t>
            </w:r>
          </w:p>
        </w:tc>
      </w:tr>
      <w:tr w:rsidR="005904D0" w:rsidRPr="00960892" w14:paraId="621BCA6E" w14:textId="77777777" w:rsidTr="00960892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2BB50" w14:textId="5FCC8C11" w:rsidR="005904D0" w:rsidRPr="005904D0" w:rsidRDefault="00281C9E" w:rsidP="00960892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Usklađivanja</w:t>
            </w:r>
            <w:r w:rsidR="005904D0" w:rsidRPr="005904D0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054CBA">
              <w:rPr>
                <w:rFonts w:cstheme="minorHAnsi"/>
                <w:b/>
                <w:bCs/>
                <w:color w:val="000000"/>
              </w:rPr>
              <w:t>(</w:t>
            </w:r>
            <w:r w:rsidR="005904D0" w:rsidRPr="005904D0">
              <w:rPr>
                <w:rFonts w:cstheme="minorHAnsi"/>
                <w:b/>
                <w:bCs/>
                <w:color w:val="000000"/>
              </w:rPr>
              <w:t>AAC</w:t>
            </w:r>
            <w:r w:rsidR="005904D0" w:rsidRPr="005904D0">
              <w:rPr>
                <w:rFonts w:cstheme="minorHAnsi"/>
                <w:b/>
                <w:bCs/>
                <w:color w:val="000000"/>
                <w:vertAlign w:val="subscript"/>
              </w:rPr>
              <w:t xml:space="preserve">at-1 </w:t>
            </w:r>
            <w:r w:rsidR="005904D0" w:rsidRPr="005904D0">
              <w:rPr>
                <w:rFonts w:cstheme="minorHAnsi"/>
                <w:b/>
                <w:bCs/>
                <w:color w:val="000000"/>
              </w:rPr>
              <w:t>- ARR</w:t>
            </w:r>
            <w:r w:rsidR="005904D0" w:rsidRPr="005904D0">
              <w:rPr>
                <w:rFonts w:cstheme="minorHAnsi"/>
                <w:b/>
                <w:bCs/>
                <w:color w:val="000000"/>
                <w:vertAlign w:val="subscript"/>
              </w:rPr>
              <w:t>t-1</w:t>
            </w:r>
            <w:r w:rsidR="00054CBA" w:rsidRPr="00054CBA">
              <w:rPr>
                <w:rFonts w:cstheme="minorHAnsi"/>
                <w:b/>
                <w:bCs/>
                <w:color w:val="000000"/>
              </w:rPr>
              <w:t>)*(</w:t>
            </w:r>
            <w:r w:rsidR="005904D0" w:rsidRPr="00054CBA">
              <w:rPr>
                <w:rFonts w:cstheme="minorHAnsi"/>
                <w:b/>
                <w:bCs/>
                <w:color w:val="000000"/>
              </w:rPr>
              <w:t>1+</w:t>
            </w:r>
            <w:r w:rsidR="00054CBA" w:rsidRPr="00054CBA">
              <w:rPr>
                <w:rFonts w:cstheme="minorHAnsi"/>
                <w:b/>
                <w:bCs/>
                <w:color w:val="000000"/>
              </w:rPr>
              <w:t>It)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E54C" w14:textId="3392A6A5" w:rsidR="005904D0" w:rsidRPr="00960892" w:rsidRDefault="00054CBA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16A67" w14:textId="397158D0" w:rsidR="005904D0" w:rsidRDefault="00054CBA" w:rsidP="002439FD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</w:t>
            </w:r>
            <w:r w:rsidR="002439FD">
              <w:rPr>
                <w:rFonts w:cstheme="minorHAnsi"/>
                <w:color w:val="000000"/>
              </w:rPr>
              <w:t>9</w:t>
            </w:r>
          </w:p>
        </w:tc>
      </w:tr>
      <w:tr w:rsidR="00054CBA" w:rsidRPr="00960892" w14:paraId="1E845CF0" w14:textId="77777777" w:rsidTr="00A67D35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4965" w14:textId="18C0D02F" w:rsidR="00054CBA" w:rsidRDefault="00281C9E" w:rsidP="00281C9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Usklađivanje kamate za </w:t>
            </w:r>
            <w:r w:rsidRPr="00281C9E">
              <w:rPr>
                <w:rFonts w:cstheme="minorHAnsi"/>
                <w:bCs/>
              </w:rPr>
              <w:t xml:space="preserve">LBT godine </w:t>
            </w:r>
            <w:r w:rsidR="00054CBA">
              <w:rPr>
                <w:rFonts w:cstheme="minorHAnsi"/>
                <w:bCs/>
              </w:rPr>
              <w:t>2020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9B62" w14:textId="65B4F685" w:rsidR="00054CBA" w:rsidRPr="00960892" w:rsidRDefault="00054CBA" w:rsidP="00054CBA">
            <w:pPr>
              <w:spacing w:after="0"/>
              <w:jc w:val="center"/>
              <w:rPr>
                <w:rFonts w:cstheme="minorHAnsi"/>
              </w:rPr>
            </w:pPr>
            <w:r w:rsidRPr="00054CBA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1C376" w14:textId="77777777" w:rsidR="00054CBA" w:rsidRDefault="00054CBA" w:rsidP="00A67D35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0.4</w:t>
            </w:r>
          </w:p>
        </w:tc>
      </w:tr>
      <w:tr w:rsidR="00960892" w:rsidRPr="00960892" w14:paraId="65F0C667" w14:textId="77777777" w:rsidTr="0001374E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4B355" w14:textId="4E3BC6F3" w:rsidR="00960892" w:rsidRPr="0001374E" w:rsidRDefault="00281C9E" w:rsidP="0096089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281C9E">
              <w:rPr>
                <w:b/>
              </w:rPr>
              <w:t>Usklađivanja prihoda</w:t>
            </w:r>
            <w:r w:rsidR="00960892" w:rsidRPr="0001374E">
              <w:rPr>
                <w:rFonts w:cstheme="minorHAnsi"/>
                <w:b/>
                <w:color w:val="FFFFFF" w:themeColor="background1"/>
              </w:rPr>
              <w:t xml:space="preserve"> ADJ</w:t>
            </w:r>
            <w:r w:rsidR="00960892" w:rsidRPr="0001374E">
              <w:rPr>
                <w:rFonts w:cstheme="minorHAnsi"/>
                <w:b/>
                <w:color w:val="FFFFFF" w:themeColor="background1"/>
                <w:vertAlign w:val="subscript"/>
              </w:rPr>
              <w:t>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0A5D0" w14:textId="77777777" w:rsidR="00960892" w:rsidRPr="0001374E" w:rsidRDefault="00960892" w:rsidP="00960892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1374E">
              <w:rPr>
                <w:rFonts w:cstheme="minorHAnsi"/>
                <w:b/>
                <w:color w:val="FFFFFF" w:themeColor="background1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DF9F" w14:textId="786AE4D1" w:rsidR="00960892" w:rsidRPr="0001374E" w:rsidRDefault="00D17A05" w:rsidP="002439FD">
            <w:pPr>
              <w:spacing w:after="0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-</w:t>
            </w:r>
            <w:r w:rsidR="00054CBA">
              <w:rPr>
                <w:rFonts w:cstheme="minorHAnsi"/>
                <w:b/>
                <w:color w:val="FFFFFF" w:themeColor="background1"/>
              </w:rPr>
              <w:t>6.</w:t>
            </w:r>
            <w:r w:rsidR="002439FD">
              <w:rPr>
                <w:rFonts w:cstheme="minorHAnsi"/>
                <w:b/>
                <w:color w:val="FFFFFF" w:themeColor="background1"/>
              </w:rPr>
              <w:t>5</w:t>
            </w:r>
          </w:p>
        </w:tc>
      </w:tr>
    </w:tbl>
    <w:p w14:paraId="60F84FFB" w14:textId="77777777" w:rsidR="00960892" w:rsidRDefault="007C4CE3" w:rsidP="00960892">
      <w:pPr>
        <w:spacing w:after="0"/>
      </w:pPr>
      <w:r>
        <w:t xml:space="preserve"> </w:t>
      </w:r>
    </w:p>
    <w:p w14:paraId="312145F9" w14:textId="4589D94C" w:rsidR="007C4CE3" w:rsidRDefault="00281C9E" w:rsidP="000635BE">
      <w:pPr>
        <w:spacing w:after="0"/>
        <w:jc w:val="both"/>
      </w:pPr>
      <w:r>
        <w:t>Ova vr</w:t>
      </w:r>
      <w:r w:rsidRPr="00281C9E">
        <w:t>e</w:t>
      </w:r>
      <w:r>
        <w:t>dnost usklađivanja od -6,5 mil.€ prenosi</w:t>
      </w:r>
      <w:r w:rsidRPr="00281C9E">
        <w:t>će se pri utvrđivanju maksimalno dozvoljenih prihoda za 2021</w:t>
      </w:r>
      <w:r>
        <w:t xml:space="preserve"> godinu.</w:t>
      </w:r>
    </w:p>
    <w:p w14:paraId="45CBD2D1" w14:textId="6AD57357" w:rsidR="008A3962" w:rsidRDefault="008A3962" w:rsidP="000635BE">
      <w:pPr>
        <w:spacing w:after="0"/>
        <w:jc w:val="both"/>
      </w:pPr>
    </w:p>
    <w:p w14:paraId="37B13719" w14:textId="68942599" w:rsidR="008A3962" w:rsidRPr="00526E92" w:rsidRDefault="008A3962" w:rsidP="008A3962">
      <w:pPr>
        <w:pStyle w:val="ListParagraph"/>
        <w:spacing w:after="0"/>
        <w:ind w:left="1080"/>
        <w:jc w:val="both"/>
      </w:pPr>
      <w:r>
        <w:t>*</w:t>
      </w:r>
      <w:r w:rsidRPr="008A3962">
        <w:t xml:space="preserve"> </w:t>
      </w:r>
      <w:r w:rsidR="00552761" w:rsidRPr="00552761">
        <w:t xml:space="preserve">Troškovi ODS -a procenjeni su na osnovu preliminarnih izveštaja i ne uključuju ispravke za naplatu i gubitak ODS </w:t>
      </w:r>
      <w:r w:rsidR="00552761">
        <w:t>-a prema pismu od 7. jula 2021.</w:t>
      </w:r>
    </w:p>
    <w:p w14:paraId="19B6C952" w14:textId="0850A62D" w:rsidR="008A3962" w:rsidRDefault="008A3962" w:rsidP="000635BE">
      <w:pPr>
        <w:spacing w:after="0"/>
        <w:jc w:val="both"/>
      </w:pPr>
    </w:p>
    <w:p w14:paraId="34595955" w14:textId="54F046E4" w:rsidR="008A3962" w:rsidRDefault="008A3962" w:rsidP="008A3962">
      <w:pPr>
        <w:pStyle w:val="ListParagraph"/>
        <w:spacing w:after="0"/>
        <w:ind w:left="1080"/>
        <w:jc w:val="both"/>
      </w:pPr>
      <w:r>
        <w:t xml:space="preserve">** </w:t>
      </w:r>
      <w:r w:rsidR="00552761" w:rsidRPr="00552761">
        <w:t>U mesečnim podacima, trošk</w:t>
      </w:r>
      <w:r w:rsidR="00552761">
        <w:t>ovi fonda OIE su 14,98 miliona E</w:t>
      </w:r>
      <w:r w:rsidR="00552761" w:rsidRPr="00552761">
        <w:t>vra, dok su u finansij</w:t>
      </w:r>
      <w:r w:rsidR="00552761">
        <w:t>skim izveštajima 15,22 miliona E</w:t>
      </w:r>
      <w:r w:rsidR="00552761" w:rsidRPr="00552761">
        <w:t>vra. Iako su razlike minimalne, potrebna objašnjenja treba dati u konačnom proračunu</w:t>
      </w:r>
      <w:r w:rsidR="00552761">
        <w:t>.</w:t>
      </w:r>
    </w:p>
    <w:p w14:paraId="47955287" w14:textId="77777777" w:rsidR="002439FD" w:rsidRDefault="002439FD" w:rsidP="008A3962">
      <w:pPr>
        <w:pStyle w:val="ListParagraph"/>
        <w:spacing w:after="0"/>
        <w:ind w:left="1080"/>
        <w:jc w:val="both"/>
      </w:pPr>
    </w:p>
    <w:p w14:paraId="4E9304A8" w14:textId="0685BA60" w:rsidR="002439FD" w:rsidRDefault="002439FD" w:rsidP="002439FD">
      <w:pPr>
        <w:pStyle w:val="ListParagraph"/>
        <w:spacing w:after="0"/>
        <w:ind w:left="1080"/>
        <w:jc w:val="both"/>
      </w:pPr>
      <w:r>
        <w:t xml:space="preserve">*** </w:t>
      </w:r>
      <w:r w:rsidR="00552761" w:rsidRPr="00552761">
        <w:t>uključujući ostale pr</w:t>
      </w:r>
      <w:r w:rsidR="00552761">
        <w:t>ihode u iznosu od 0,26 miliona E</w:t>
      </w:r>
      <w:r w:rsidR="00552761" w:rsidRPr="00552761">
        <w:t>vra prema finansijskim izveštajima</w:t>
      </w:r>
    </w:p>
    <w:p w14:paraId="01707FDA" w14:textId="77777777" w:rsidR="002439FD" w:rsidRDefault="002439FD" w:rsidP="002439FD">
      <w:pPr>
        <w:pStyle w:val="ListParagraph"/>
        <w:spacing w:after="0"/>
        <w:ind w:left="1080"/>
        <w:jc w:val="both"/>
      </w:pPr>
    </w:p>
    <w:p w14:paraId="6486299C" w14:textId="7A18D598" w:rsidR="004649E3" w:rsidRPr="00C431D5" w:rsidRDefault="0081460B" w:rsidP="00D17A05">
      <w:pPr>
        <w:spacing w:after="0"/>
        <w:jc w:val="both"/>
      </w:pPr>
      <w:r w:rsidRPr="0081460B">
        <w:lastRenderedPageBreak/>
        <w:t>Tokom analize veleprodaj</w:t>
      </w:r>
      <w:r w:rsidR="00512F3A">
        <w:t>n</w:t>
      </w:r>
      <w:r w:rsidRPr="0081460B">
        <w:t xml:space="preserve">e energije i naplate energije za potrošače sa univerzalnim uslugama od strane KESCO -a, RUE je primetio razliku u količini </w:t>
      </w:r>
      <w:r>
        <w:t xml:space="preserve">velikoprodajne </w:t>
      </w:r>
      <w:r w:rsidRPr="0081460B">
        <w:t>energije i količini energije koja se naplaćuje za potrošače sa univerzalnom uslugom. Na osnovu analize koju je RUE uradio u vezi sa kupovinom energije na veliko i naplatom energij</w:t>
      </w:r>
      <w:r w:rsidR="00152064">
        <w:t>e za korisnike sa Univerzalnom Uslugom, vidi se da je KESCO-SUU</w:t>
      </w:r>
      <w:r w:rsidRPr="0081460B">
        <w:t xml:space="preserve"> kupio energiju u iznosu od 4.245GVh (4.044 iz ugovora i 201 GVh iz programa kompenzacije). Kao prodaja (fakturisanje) KESCO-FSHU je prijavio vrednost od 4,140GVh. Ovo kašnjenje o</w:t>
      </w:r>
      <w:r w:rsidR="00152064">
        <w:t>d 105 GVh znači da je KESCO-SUU</w:t>
      </w:r>
      <w:r w:rsidRPr="0081460B">
        <w:t xml:space="preserve"> kupio više energije nego što je potrebno za p</w:t>
      </w:r>
      <w:r w:rsidR="00152064">
        <w:t>odmirivanje potreba SUU</w:t>
      </w:r>
      <w:r w:rsidRPr="0081460B">
        <w:t>-a. Prilikom predviđanja potrošnje / nominacija mogu postojati razlike između nominovanih vrijednosti i onih koje se ostvaruju kao odlaganja energije i povlačenja. Međutim, s obzirom na trenutne okoln</w:t>
      </w:r>
      <w:r w:rsidR="00152064">
        <w:t>osti kupovine energije od KESCO, SUU</w:t>
      </w:r>
      <w:r w:rsidRPr="0081460B">
        <w:t xml:space="preserve"> i KEDS-a, besmisleno je da jedna strana tokom 12 meseci u godini ima kašnjenja, dok druga strana</w:t>
      </w:r>
      <w:r w:rsidR="00152064">
        <w:t xml:space="preserve"> ima</w:t>
      </w:r>
      <w:r w:rsidRPr="0081460B">
        <w:t xml:space="preserve"> </w:t>
      </w:r>
      <w:r w:rsidR="00152064" w:rsidRPr="00152064">
        <w:t>povlačenje energije.</w:t>
      </w:r>
      <w:r w:rsidR="00152064">
        <w:t xml:space="preserve"> </w:t>
      </w:r>
      <w:r w:rsidR="005635CB" w:rsidRPr="00C431D5">
        <w:t xml:space="preserve"> </w:t>
      </w:r>
    </w:p>
    <w:p w14:paraId="1001C9C7" w14:textId="1E8FBFF8" w:rsidR="005635CB" w:rsidRPr="00C431D5" w:rsidRDefault="00152064" w:rsidP="00522A65">
      <w:pPr>
        <w:spacing w:before="240" w:after="0"/>
        <w:jc w:val="both"/>
      </w:pPr>
      <w:r w:rsidRPr="00152064">
        <w:t>S obzirom na to da nominacije za obe strane vrši KESCO, a nomina</w:t>
      </w:r>
      <w:r>
        <w:t>cije KEDS-a zavise od KESCO-SUU</w:t>
      </w:r>
      <w:r w:rsidRPr="00152064">
        <w:t>, tada bi eventualna odstupanja trebalo da budu ujednačena, a ne da se jedna strana povuče, dok dru</w:t>
      </w:r>
      <w:r>
        <w:t>ga strana treba da ima odlaganje.</w:t>
      </w:r>
    </w:p>
    <w:p w14:paraId="6B7F75C6" w14:textId="52841565" w:rsidR="00522A65" w:rsidRPr="00C431D5" w:rsidRDefault="00152064" w:rsidP="00466795">
      <w:pPr>
        <w:spacing w:before="240" w:after="0"/>
        <w:jc w:val="both"/>
      </w:pPr>
      <w:r w:rsidRPr="00152064">
        <w:t>Na</w:t>
      </w:r>
      <w:r>
        <w:t xml:space="preserve"> osnovu gore rečenog, RUE zahteva </w:t>
      </w:r>
      <w:r w:rsidRPr="00152064">
        <w:t>od KESCO -a da pruži potrebna pojašnjenja.</w:t>
      </w:r>
    </w:p>
    <w:p w14:paraId="62B6F763" w14:textId="4307DF6E" w:rsidR="008D4F45" w:rsidRPr="00C431D5" w:rsidRDefault="00152064" w:rsidP="00466795">
      <w:pPr>
        <w:spacing w:before="240" w:after="0"/>
        <w:jc w:val="both"/>
      </w:pPr>
      <w:r w:rsidRPr="00152064">
        <w:t>RUE, videći ovaj fenomen i procese koji su se razvili u energetskom sektoru na Kosovu, sa posebnim naglaskom na nezavisnost KOSTT -a, naglašava da je odgovornost KOSTT -a da uravnoteži sistem i da se takvo uravnoteženje ne bi trebalo nas</w:t>
      </w:r>
      <w:r>
        <w:t>taviti u ovom obliku preko SUU</w:t>
      </w:r>
      <w:r w:rsidRPr="00152064">
        <w:t xml:space="preserve"> </w:t>
      </w:r>
      <w:r>
        <w:t>–</w:t>
      </w:r>
      <w:r w:rsidRPr="00152064">
        <w:t>a</w:t>
      </w:r>
      <w:r>
        <w:t>.</w:t>
      </w:r>
      <w:r w:rsidR="003E40DB" w:rsidRPr="00C431D5">
        <w:t xml:space="preserve"> </w:t>
      </w:r>
    </w:p>
    <w:p w14:paraId="773E6788" w14:textId="457E6062" w:rsidR="00012400" w:rsidRDefault="00012400" w:rsidP="00466795">
      <w:pPr>
        <w:spacing w:before="240" w:after="0"/>
        <w:jc w:val="both"/>
      </w:pPr>
    </w:p>
    <w:p w14:paraId="1069D43C" w14:textId="686C13CA" w:rsidR="008773FD" w:rsidRPr="003A4BA9" w:rsidRDefault="002C37B1" w:rsidP="008773FD">
      <w:pPr>
        <w:pStyle w:val="Heading1"/>
        <w:spacing w:before="0"/>
        <w:rPr>
          <w:rFonts w:asciiTheme="minorHAnsi" w:hAnsiTheme="minorHAnsi" w:cstheme="minorHAnsi"/>
        </w:rPr>
      </w:pPr>
      <w:r>
        <w:t>Troškovi koji se prenose</w:t>
      </w:r>
    </w:p>
    <w:p w14:paraId="46FFC0A9" w14:textId="71CFB5F3" w:rsidR="008773FD" w:rsidRPr="0001374E" w:rsidRDefault="002C37B1" w:rsidP="0001374E">
      <w:pPr>
        <w:jc w:val="both"/>
      </w:pPr>
      <w:r>
        <w:t>Troškovi SUU-a koji se prenose predstavljaju troškovi koji zavise od procene za MAR drugih kompanija koje su regulisane. Ovi su troškovi koji se prenose od KOSTT-a, KEDS-a (PSTCt), i neki drugi troškovi koji su van kontrole SUU-a. Troškovi koji se prenose za KOSTT, uključujući i fond za obnovl</w:t>
      </w:r>
      <w:r>
        <w:t>jive izvore energije iznose 29 miliona</w:t>
      </w:r>
      <w:r>
        <w:t>€, dok troškovi koj</w:t>
      </w:r>
      <w:r>
        <w:t>i se prenose za KEDS iznose 81 miliona</w:t>
      </w:r>
      <w:r>
        <w:t xml:space="preserve">€. </w:t>
      </w:r>
    </w:p>
    <w:p w14:paraId="5C8EFC71" w14:textId="0011E634" w:rsidR="008773FD" w:rsidRPr="003A4BA9" w:rsidRDefault="002C37B1" w:rsidP="008773FD">
      <w:pPr>
        <w:pStyle w:val="Heading1"/>
        <w:spacing w:line="240" w:lineRule="auto"/>
        <w:rPr>
          <w:rFonts w:asciiTheme="minorHAnsi" w:hAnsiTheme="minorHAnsi" w:cstheme="minorHAnsi"/>
        </w:rPr>
      </w:pPr>
      <w:r>
        <w:t>Maloprodajni troškovi snabdevača</w:t>
      </w:r>
    </w:p>
    <w:p w14:paraId="74776E36" w14:textId="6E2FF5A1" w:rsidR="00FD6318" w:rsidRPr="00D662B2" w:rsidRDefault="00881733" w:rsidP="00FD6318">
      <w:pPr>
        <w:spacing w:before="120"/>
        <w:jc w:val="both"/>
        <w:rPr>
          <w:color w:val="FF0000"/>
        </w:rPr>
      </w:pPr>
      <w:bookmarkStart w:id="2" w:name="_Toc508629897"/>
      <w:r>
        <w:t>Odobreni maloprodajni troškovi obračunaju se kao iznos odobrenih radnih troškova i održavanja (OPMCt), amortizacije (DEPCt) i licence (LSICt). Predloženi maloprodajni troškovi za SUU za 2019. godinu koristili su kao polaznu tačku odobrene t</w:t>
      </w:r>
      <w:r>
        <w:t>roškove kao polaznu tačku u 2020</w:t>
      </w:r>
      <w:r>
        <w:t xml:space="preserve">. godini i indeksirane za </w:t>
      </w:r>
      <w:r>
        <w:t>stopu inflacije u iznosu od 0.26%</w:t>
      </w:r>
      <w:r w:rsidRPr="00842F53">
        <w:rPr>
          <w:rStyle w:val="FootnoteReference"/>
        </w:rPr>
        <w:footnoteReference w:id="1"/>
      </w:r>
      <w:r w:rsidRPr="00842F53">
        <w:t>.</w:t>
      </w:r>
      <w:r>
        <w:t xml:space="preserve"> </w:t>
      </w:r>
      <w:r>
        <w:t xml:space="preserve"> Iznos maloprodajnih t</w:t>
      </w:r>
      <w:r>
        <w:t>roškova za 2021</w:t>
      </w:r>
      <w:r>
        <w:t>.</w:t>
      </w:r>
      <w:r>
        <w:t xml:space="preserve"> godinu projektovan je da bude 4.7 miliona</w:t>
      </w:r>
      <w:r>
        <w:t>€. Druge komponente maloprodajnih troškova, kao što su maloprodajna marža, loš dug i radni kapital su obračunati na osnovu utvrđenih pravila u Pravilu za prihode SUU-a</w:t>
      </w:r>
      <w:bookmarkEnd w:id="2"/>
      <w:r>
        <w:t>.</w:t>
      </w:r>
      <w:r w:rsidR="00340FFE">
        <w:t xml:space="preserve"> </w:t>
      </w:r>
    </w:p>
    <w:p w14:paraId="7D01D4A9" w14:textId="109B1A19" w:rsidR="00D662B2" w:rsidRDefault="00881733" w:rsidP="00FD6318">
      <w:pPr>
        <w:spacing w:before="120"/>
        <w:jc w:val="both"/>
      </w:pPr>
      <w:r w:rsidRPr="00881733">
        <w:t xml:space="preserve">U proceni maloprodajnih troškova, KESCO nije prikazao troškove povezane sa pružanjem </w:t>
      </w:r>
      <w:r>
        <w:t>usluga neregulisanim kupcima</w:t>
      </w:r>
      <w:r w:rsidRPr="00881733">
        <w:t>. RUE zahteva od KESCO -a da tokom pro</w:t>
      </w:r>
      <w:r>
        <w:t>cesa javnih konsultacija izvr</w:t>
      </w:r>
      <w:r>
        <w:rPr>
          <w:rFonts w:cstheme="minorHAnsi"/>
        </w:rPr>
        <w:t>š</w:t>
      </w:r>
      <w:r>
        <w:t>i</w:t>
      </w:r>
      <w:r w:rsidRPr="00881733">
        <w:t xml:space="preserve"> procenu u vezi sa ovim troškovima i odbiće ih tokom utvrđivanja OPE</w:t>
      </w:r>
      <w:r>
        <w:t>X -a SUU</w:t>
      </w:r>
      <w:r w:rsidRPr="00881733">
        <w:t xml:space="preserve"> -a.</w:t>
      </w:r>
    </w:p>
    <w:p w14:paraId="108073F9" w14:textId="77777777" w:rsidR="00D17A05" w:rsidRPr="00842F53" w:rsidRDefault="00D17A05" w:rsidP="00FD6318">
      <w:pPr>
        <w:spacing w:before="120"/>
        <w:jc w:val="both"/>
      </w:pPr>
    </w:p>
    <w:p w14:paraId="444656EF" w14:textId="7490CE49" w:rsidR="008773FD" w:rsidRPr="003A4BA9" w:rsidRDefault="00D70268" w:rsidP="00D17A05">
      <w:pPr>
        <w:pStyle w:val="Heading1"/>
        <w:spacing w:line="240" w:lineRule="auto"/>
        <w:rPr>
          <w:rFonts w:asciiTheme="minorHAnsi" w:hAnsiTheme="minorHAnsi" w:cstheme="minorHAnsi"/>
        </w:rPr>
      </w:pPr>
      <w:bookmarkStart w:id="3" w:name="_Toc508629899"/>
      <w:r>
        <w:t>Maksimalno odobreni prihod</w:t>
      </w:r>
      <w:r w:rsidR="006A334F" w:rsidRPr="003A4BA9">
        <w:rPr>
          <w:rFonts w:asciiTheme="minorHAnsi" w:hAnsiTheme="minorHAnsi" w:cstheme="minorHAnsi"/>
        </w:rPr>
        <w:t xml:space="preserve"> </w:t>
      </w:r>
      <w:bookmarkEnd w:id="3"/>
    </w:p>
    <w:p w14:paraId="5981E896" w14:textId="72C42ABE" w:rsidR="00340FFE" w:rsidRDefault="00D70268" w:rsidP="00340FFE">
      <w:pPr>
        <w:spacing w:before="120"/>
        <w:jc w:val="both"/>
      </w:pPr>
      <w:r>
        <w:t>Predloženi MAR za SUU za 2021. godinu iznosi 2</w:t>
      </w:r>
      <w:r>
        <w:t>7</w:t>
      </w:r>
      <w:r>
        <w:t>1.2 miliona</w:t>
      </w:r>
      <w:r>
        <w:t>€, koji predstavlja iznos koji će biti pokriven od regulisanih maloprodajnih tarifa. Detalji obračuna predloženog MAR-a prikazani su u sledećoj tabeli</w:t>
      </w:r>
      <w:r>
        <w:t>:</w:t>
      </w:r>
      <w:r w:rsidR="00013C9F">
        <w:t xml:space="preserve"> </w:t>
      </w:r>
    </w:p>
    <w:p w14:paraId="67C4B38F" w14:textId="41787D05" w:rsidR="008773FD" w:rsidRDefault="008773FD" w:rsidP="002F329B">
      <w:pPr>
        <w:pStyle w:val="Caption"/>
        <w:spacing w:after="0"/>
        <w:jc w:val="center"/>
      </w:pPr>
      <w:r w:rsidRPr="00842F53">
        <w:t xml:space="preserve">Tabela </w:t>
      </w:r>
      <w:r w:rsidR="00724223" w:rsidRPr="00842F53">
        <w:t>4</w:t>
      </w:r>
      <w:r w:rsidRPr="00842F53">
        <w:t xml:space="preserve"> </w:t>
      </w:r>
      <w:r w:rsidR="00D70268">
        <w:t>–</w:t>
      </w:r>
      <w:r w:rsidR="00621E1C" w:rsidRPr="00842F53">
        <w:t xml:space="preserve"> </w:t>
      </w:r>
      <w:r w:rsidR="00D70268">
        <w:t>Predlo</w:t>
      </w:r>
      <w:r w:rsidR="00D70268">
        <w:rPr>
          <w:rFonts w:cs="Calibri"/>
        </w:rPr>
        <w:t>ž</w:t>
      </w:r>
      <w:r w:rsidR="00D70268">
        <w:t>eni MAR za</w:t>
      </w:r>
      <w:r w:rsidR="00724223" w:rsidRPr="00842F53">
        <w:t xml:space="preserve"> 20</w:t>
      </w:r>
      <w:r w:rsidR="00AD66A7" w:rsidRPr="00842F53">
        <w:t>2</w:t>
      </w:r>
      <w:r w:rsidR="00C77518" w:rsidRPr="00842F53">
        <w:t>1</w:t>
      </w:r>
      <w:r w:rsidR="00D70268">
        <w:t xml:space="preserve"> godinu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916"/>
        <w:gridCol w:w="778"/>
      </w:tblGrid>
      <w:tr w:rsidR="00D969E4" w:rsidRPr="00960892" w14:paraId="26A2FDDE" w14:textId="77777777" w:rsidTr="00FB0610">
        <w:trPr>
          <w:trHeight w:val="51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5277" w14:textId="7F2EF52D" w:rsidR="00D969E4" w:rsidRPr="00D70268" w:rsidRDefault="00D70268" w:rsidP="00FB0610">
            <w:pPr>
              <w:spacing w:after="0" w:line="240" w:lineRule="auto"/>
              <w:rPr>
                <w:rFonts w:cstheme="minorHAnsi"/>
                <w:b/>
                <w:bCs/>
                <w:color w:val="FFFFFF"/>
              </w:rPr>
            </w:pPr>
            <w:r w:rsidRPr="00D70268">
              <w:rPr>
                <w:b/>
              </w:rPr>
              <w:t>MAR Snabdevača univerzalnom uslugom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46B8" w14:textId="2464C321" w:rsidR="00D969E4" w:rsidRPr="00960892" w:rsidRDefault="00D70268" w:rsidP="00FB06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Jedinica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ED01E" w14:textId="62DF4ED7" w:rsidR="00D969E4" w:rsidRPr="00960892" w:rsidRDefault="00D969E4" w:rsidP="002F329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20</w:t>
            </w:r>
            <w:r w:rsidR="00E4293C">
              <w:rPr>
                <w:rFonts w:cstheme="minorHAnsi"/>
                <w:b/>
                <w:bCs/>
                <w:color w:val="FFFFFF"/>
              </w:rPr>
              <w:t>2</w:t>
            </w:r>
            <w:r w:rsidR="00275ECF">
              <w:rPr>
                <w:rFonts w:cstheme="minorHAnsi"/>
                <w:b/>
                <w:bCs/>
                <w:color w:val="FFFFFF"/>
              </w:rPr>
              <w:t>1</w:t>
            </w:r>
          </w:p>
        </w:tc>
      </w:tr>
      <w:tr w:rsidR="00D969E4" w:rsidRPr="00960892" w14:paraId="32459A0E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07DC" w14:textId="4A6BDFDE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Parametri indeksiranja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7770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6C879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51E8BE46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3EB98" w14:textId="0C4CA21F" w:rsidR="00D969E4" w:rsidRPr="00960892" w:rsidRDefault="00D70268" w:rsidP="00FB0610">
            <w:pPr>
              <w:spacing w:after="0"/>
              <w:rPr>
                <w:rFonts w:cstheme="minorHAnsi"/>
              </w:rPr>
            </w:pPr>
            <w:r>
              <w:t xml:space="preserve">Kamatna stopa </w:t>
            </w:r>
            <w:r w:rsidR="00D969E4" w:rsidRPr="00960892">
              <w:rPr>
                <w:rFonts w:cstheme="minorHAnsi"/>
              </w:rPr>
              <w:t xml:space="preserve"> 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1FE42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4143A" w14:textId="77777777" w:rsidR="00D969E4" w:rsidRPr="00960892" w:rsidRDefault="00E4293C" w:rsidP="00FB061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6.85</w:t>
            </w:r>
            <w:r w:rsidR="00D969E4" w:rsidRPr="00960892">
              <w:rPr>
                <w:rFonts w:cstheme="minorHAnsi"/>
              </w:rPr>
              <w:t>%</w:t>
            </w:r>
          </w:p>
        </w:tc>
      </w:tr>
      <w:tr w:rsidR="00D969E4" w:rsidRPr="00960892" w14:paraId="14CA3602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6F06" w14:textId="65C7C765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Maloprodajni troškovi snabdevača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83316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CC122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68C7860B" w14:textId="77777777" w:rsidTr="00FB0610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6998F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OPEX - OPMC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 xml:space="preserve"> = OPMC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 xml:space="preserve"> * (1 + CPI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>) * (1 – E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>)* (1 – P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CA95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1827C" w14:textId="3D8C8C80" w:rsidR="00D969E4" w:rsidRPr="00960892" w:rsidRDefault="00275ECF" w:rsidP="00FB377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</w:tr>
      <w:tr w:rsidR="00D969E4" w:rsidRPr="00960892" w14:paraId="4C015270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E3A46" w14:textId="2403A6C5" w:rsidR="00D969E4" w:rsidRPr="00960892" w:rsidRDefault="00D70268" w:rsidP="00FB061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Amortizacija</w:t>
            </w:r>
            <w:r w:rsidR="00D969E4" w:rsidRPr="00960892">
              <w:rPr>
                <w:rFonts w:cstheme="minorHAnsi"/>
              </w:rPr>
              <w:t xml:space="preserve"> - DEPCt = DEPCt-1 * (1 + CPIt-1) * (1 – Pt)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66F3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031C0" w14:textId="77777777" w:rsidR="00D969E4" w:rsidRPr="00960892" w:rsidRDefault="00724223" w:rsidP="00FB061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</w:tr>
      <w:tr w:rsidR="00D969E4" w:rsidRPr="00960892" w14:paraId="3D491B32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7BA9" w14:textId="1240E167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Troškovi koji se prenose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EE98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FBCA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41692FF2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52A73" w14:textId="05C5C509" w:rsidR="00D969E4" w:rsidRPr="00960892" w:rsidRDefault="00D70268" w:rsidP="00FB0610">
            <w:pPr>
              <w:spacing w:after="0"/>
              <w:rPr>
                <w:rFonts w:cstheme="minorHAnsi"/>
              </w:rPr>
            </w:pPr>
            <w:r>
              <w:t>Troškovi OPS-a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A5D16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1F0A2" w14:textId="196DA4E3" w:rsidR="00D969E4" w:rsidRPr="00FB3777" w:rsidRDefault="0096508C" w:rsidP="00842F53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842F53">
              <w:rPr>
                <w:rFonts w:cstheme="minorHAnsi"/>
              </w:rPr>
              <w:t>3</w:t>
            </w:r>
          </w:p>
        </w:tc>
      </w:tr>
      <w:tr w:rsidR="00D969E4" w:rsidRPr="00960892" w14:paraId="1CD6C1F4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407C" w14:textId="02D8A657" w:rsidR="00D969E4" w:rsidRPr="00960892" w:rsidRDefault="00D70268" w:rsidP="00FB0610">
            <w:pPr>
              <w:spacing w:after="0"/>
              <w:rPr>
                <w:rFonts w:cstheme="minorHAnsi"/>
              </w:rPr>
            </w:pPr>
            <w:r>
              <w:t>Troškovi ODS-a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3D2A0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42E74" w14:textId="5AE361CF" w:rsidR="00D969E4" w:rsidRPr="00FB3777" w:rsidRDefault="00082D42" w:rsidP="00082D4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="00275ECF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</w:tr>
      <w:tr w:rsidR="00D969E4" w:rsidRPr="00960892" w14:paraId="5350962A" w14:textId="77777777" w:rsidTr="00D70268">
        <w:trPr>
          <w:trHeight w:val="34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B6EC0" w14:textId="1A022FF5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Troškovi za fond OIE-a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B608" w14:textId="77777777" w:rsidR="00D969E4" w:rsidRPr="00960892" w:rsidRDefault="00D969E4" w:rsidP="00D969E4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83B87" w14:textId="6718B223" w:rsidR="00D969E4" w:rsidRPr="00FB3777" w:rsidRDefault="00724223" w:rsidP="008F61BC">
            <w:pPr>
              <w:spacing w:after="0"/>
              <w:jc w:val="right"/>
              <w:rPr>
                <w:rFonts w:cstheme="minorHAnsi"/>
                <w:bCs/>
              </w:rPr>
            </w:pPr>
            <w:r w:rsidRPr="00FB3777">
              <w:rPr>
                <w:rFonts w:cstheme="minorHAnsi"/>
                <w:bCs/>
              </w:rPr>
              <w:t>1</w:t>
            </w:r>
            <w:r w:rsidR="00275ECF">
              <w:rPr>
                <w:rFonts w:cstheme="minorHAnsi"/>
                <w:bCs/>
              </w:rPr>
              <w:t>4</w:t>
            </w:r>
            <w:r w:rsidR="008F61BC">
              <w:rPr>
                <w:rFonts w:cstheme="minorHAnsi"/>
                <w:bCs/>
              </w:rPr>
              <w:t>.8</w:t>
            </w:r>
          </w:p>
        </w:tc>
      </w:tr>
      <w:tr w:rsidR="00D969E4" w:rsidRPr="00960892" w14:paraId="78AD2E3D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A738" w14:textId="63E5CA1E" w:rsidR="00D969E4" w:rsidRPr="00960892" w:rsidRDefault="00D70268" w:rsidP="00D70268">
            <w:pPr>
              <w:spacing w:after="0"/>
              <w:rPr>
                <w:rFonts w:cstheme="minorHAnsi"/>
                <w:bCs/>
              </w:rPr>
            </w:pPr>
            <w:r>
              <w:t>Obrtni kapital</w:t>
            </w:r>
            <w:r w:rsidR="00D969E4" w:rsidRPr="00960892">
              <w:rPr>
                <w:rFonts w:cstheme="minorHAnsi"/>
                <w:bCs/>
              </w:rPr>
              <w:t xml:space="preserve"> (</w:t>
            </w:r>
            <w:r w:rsidR="00A46185">
              <w:rPr>
                <w:rFonts w:cstheme="minorHAnsi"/>
                <w:bCs/>
              </w:rPr>
              <w:t>W</w:t>
            </w:r>
            <w:r w:rsidR="00D969E4" w:rsidRPr="00960892">
              <w:rPr>
                <w:rFonts w:cstheme="minorHAnsi"/>
                <w:bCs/>
              </w:rPr>
              <w:t>CLCt)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E0A5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D07D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0F9E4003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CA68" w14:textId="0E2B4FAC" w:rsidR="00D969E4" w:rsidRPr="00960892" w:rsidRDefault="00E4293C" w:rsidP="00AD66A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="00D969E4" w:rsidRPr="00960892">
              <w:rPr>
                <w:rFonts w:cstheme="minorHAnsi"/>
                <w:color w:val="000000"/>
              </w:rPr>
              <w:t>CLC</w:t>
            </w:r>
            <w:r w:rsidR="00DE404D">
              <w:rPr>
                <w:rFonts w:cstheme="minorHAnsi"/>
                <w:color w:val="000000"/>
              </w:rPr>
              <w:t xml:space="preserve"> </w:t>
            </w:r>
            <w:r w:rsidR="00D969E4" w:rsidRPr="00960892">
              <w:rPr>
                <w:rFonts w:cstheme="minorHAnsi"/>
                <w:color w:val="000000"/>
              </w:rPr>
              <w:t xml:space="preserve">= (1 / 12) * It * (RETRt + </w:t>
            </w:r>
            <w:r w:rsidR="00AD66A7">
              <w:rPr>
                <w:rFonts w:cstheme="minorHAnsi"/>
                <w:color w:val="000000"/>
              </w:rPr>
              <w:t>W</w:t>
            </w:r>
            <w:r w:rsidR="00D969E4" w:rsidRPr="00960892">
              <w:rPr>
                <w:rFonts w:cstheme="minorHAnsi"/>
                <w:color w:val="000000"/>
              </w:rPr>
              <w:t>HPCt + PSTCt - NTFRt)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8AF28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4DED" w14:textId="1A24DEFB" w:rsidR="00D969E4" w:rsidRPr="00960892" w:rsidRDefault="00724223" w:rsidP="00E4293C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2A3F11">
              <w:rPr>
                <w:rFonts w:cstheme="minorHAnsi"/>
              </w:rPr>
              <w:t>4</w:t>
            </w:r>
          </w:p>
        </w:tc>
      </w:tr>
      <w:tr w:rsidR="00D969E4" w:rsidRPr="00960892" w14:paraId="7F5269B8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6E6F" w14:textId="10D19A31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Troškovi kupovine energije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B6CC5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903E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045F433B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EB7D3" w14:textId="3495A3E4" w:rsidR="00D969E4" w:rsidRPr="00960892" w:rsidRDefault="00D70268" w:rsidP="00FB0610">
            <w:pPr>
              <w:spacing w:after="0"/>
              <w:rPr>
                <w:rFonts w:cstheme="minorHAnsi"/>
              </w:rPr>
            </w:pPr>
            <w:r>
              <w:t>Veleprodajni troškovi kupovine energije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ED66C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ACA0" w14:textId="00776C6D" w:rsidR="00D969E4" w:rsidRPr="00960892" w:rsidRDefault="00724223" w:rsidP="00FB377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293C">
              <w:rPr>
                <w:rFonts w:cstheme="minorHAnsi"/>
              </w:rPr>
              <w:t>3</w:t>
            </w:r>
            <w:r w:rsidR="002A3F11">
              <w:rPr>
                <w:rFonts w:cstheme="minorHAnsi"/>
              </w:rPr>
              <w:t>7</w:t>
            </w:r>
            <w:r w:rsidR="00FB3777">
              <w:rPr>
                <w:rFonts w:cstheme="minorHAnsi"/>
              </w:rPr>
              <w:t>.</w:t>
            </w:r>
            <w:r w:rsidR="002A3F11">
              <w:rPr>
                <w:rFonts w:cstheme="minorHAnsi"/>
              </w:rPr>
              <w:t>1</w:t>
            </w:r>
          </w:p>
        </w:tc>
      </w:tr>
      <w:tr w:rsidR="00D969E4" w:rsidRPr="00960892" w14:paraId="46E1F39F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DE63" w14:textId="1D3AB61C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Taksa za licencu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A5F65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A80F5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21A2DD23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F293" w14:textId="338034ED" w:rsidR="00D969E4" w:rsidRPr="00960892" w:rsidRDefault="00D70268" w:rsidP="00FB0610">
            <w:pPr>
              <w:spacing w:after="0"/>
              <w:rPr>
                <w:rFonts w:cstheme="minorHAnsi"/>
                <w:color w:val="000000"/>
              </w:rPr>
            </w:pPr>
            <w:r>
              <w:t>Taksa za licencu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5ED1C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620BD" w14:textId="605ABC9C" w:rsidR="00D969E4" w:rsidRPr="00960892" w:rsidRDefault="00D969E4" w:rsidP="00E4293C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0.</w:t>
            </w:r>
            <w:r w:rsidR="002F329B">
              <w:rPr>
                <w:rFonts w:cstheme="minorHAnsi"/>
              </w:rPr>
              <w:t>0</w:t>
            </w:r>
            <w:r w:rsidR="002A3F11">
              <w:rPr>
                <w:rFonts w:cstheme="minorHAnsi"/>
              </w:rPr>
              <w:t>2</w:t>
            </w:r>
          </w:p>
        </w:tc>
      </w:tr>
      <w:tr w:rsidR="00D969E4" w:rsidRPr="00960892" w14:paraId="25FF94C1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3F77" w14:textId="7126288B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Loš dug</w:t>
            </w:r>
            <w:r w:rsidR="00D969E4" w:rsidRPr="00960892">
              <w:rPr>
                <w:rFonts w:cstheme="minorHAnsi"/>
                <w:bCs/>
              </w:rPr>
              <w:t xml:space="preserve"> (BDTA)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711A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CC71E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6161C533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A7532" w14:textId="77777777" w:rsidR="00D969E4" w:rsidRPr="00960892" w:rsidRDefault="00D969E4" w:rsidP="00FB0610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EB23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F6DBE" w14:textId="77777777" w:rsidR="00D969E4" w:rsidRPr="00960892" w:rsidRDefault="00D969E4" w:rsidP="00FB0610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4%</w:t>
            </w:r>
          </w:p>
        </w:tc>
      </w:tr>
      <w:tr w:rsidR="00D969E4" w:rsidRPr="00960892" w14:paraId="4D1C8E98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11B0" w14:textId="77777777" w:rsidR="00D969E4" w:rsidRPr="00960892" w:rsidRDefault="00D969E4" w:rsidP="00FB0610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E76D0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0D65D" w14:textId="1E812398" w:rsidR="00D969E4" w:rsidRPr="00960892" w:rsidRDefault="00FB2401" w:rsidP="00FB377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6508C">
              <w:rPr>
                <w:rFonts w:cstheme="minorHAnsi"/>
              </w:rPr>
              <w:t>0.8</w:t>
            </w:r>
          </w:p>
        </w:tc>
      </w:tr>
      <w:tr w:rsidR="00D969E4" w:rsidRPr="00960892" w14:paraId="3B9EA5A4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2AC5" w14:textId="7D8C5FBD" w:rsidR="00D969E4" w:rsidRPr="00960892" w:rsidRDefault="00D70268" w:rsidP="00FB0610">
            <w:pPr>
              <w:spacing w:after="0"/>
              <w:rPr>
                <w:rFonts w:cstheme="minorHAnsi"/>
                <w:bCs/>
              </w:rPr>
            </w:pPr>
            <w:r>
              <w:t>Usklađivanje prihoda za</w:t>
            </w:r>
            <w:r>
              <w:rPr>
                <w:rFonts w:cstheme="minorHAnsi"/>
                <w:bCs/>
              </w:rPr>
              <w:t xml:space="preserve"> SUU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0A154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0496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5FCA8B3F" w14:textId="77777777" w:rsidTr="00FB0610">
        <w:trPr>
          <w:trHeight w:val="30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5526E" w14:textId="2467387A" w:rsidR="00D969E4" w:rsidRPr="00960892" w:rsidRDefault="00D70268" w:rsidP="00FB0610">
            <w:pPr>
              <w:spacing w:after="0"/>
              <w:rPr>
                <w:rFonts w:cstheme="minorHAnsi"/>
                <w:color w:val="000000"/>
              </w:rPr>
            </w:pPr>
            <w:r>
              <w:t xml:space="preserve">Usklađivanja za </w:t>
            </w:r>
            <w:r>
              <w:t>2020 godinu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153D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37F61" w14:textId="40A349E0" w:rsidR="00D969E4" w:rsidRPr="00960892" w:rsidRDefault="002A3F11" w:rsidP="00082D4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082D42">
              <w:rPr>
                <w:rFonts w:cstheme="minorHAnsi"/>
              </w:rPr>
              <w:t>5</w:t>
            </w:r>
          </w:p>
        </w:tc>
      </w:tr>
      <w:tr w:rsidR="00D969E4" w:rsidRPr="00960892" w14:paraId="467D9D3A" w14:textId="77777777" w:rsidTr="00FB0610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D603" w14:textId="45C1A39B" w:rsidR="00D969E4" w:rsidRPr="00D70268" w:rsidRDefault="00D70268" w:rsidP="00FB0610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D70268">
              <w:rPr>
                <w:b/>
              </w:rPr>
              <w:t>Maksimalno odobreni prihodi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B2109" w14:textId="77777777" w:rsidR="00D969E4" w:rsidRPr="0001374E" w:rsidRDefault="00D969E4" w:rsidP="00FB0610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1374E">
              <w:rPr>
                <w:rFonts w:cstheme="minorHAnsi"/>
                <w:b/>
                <w:color w:val="FFFFFF" w:themeColor="background1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1822" w14:textId="1951B35A" w:rsidR="00D969E4" w:rsidRPr="0001374E" w:rsidRDefault="00E4293C" w:rsidP="00082D42">
            <w:pPr>
              <w:spacing w:after="0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27</w:t>
            </w:r>
            <w:r w:rsidR="00082D42">
              <w:rPr>
                <w:rFonts w:cstheme="minorHAnsi"/>
                <w:b/>
                <w:color w:val="FFFFFF" w:themeColor="background1"/>
              </w:rPr>
              <w:t>1</w:t>
            </w:r>
            <w:r w:rsidR="002A3F11">
              <w:rPr>
                <w:rFonts w:cstheme="minorHAnsi"/>
                <w:b/>
                <w:color w:val="FFFFFF" w:themeColor="background1"/>
              </w:rPr>
              <w:t>.</w:t>
            </w:r>
            <w:r w:rsidR="00082D42">
              <w:rPr>
                <w:rFonts w:cstheme="minorHAnsi"/>
                <w:b/>
                <w:color w:val="FFFFFF" w:themeColor="background1"/>
              </w:rPr>
              <w:t>2</w:t>
            </w:r>
          </w:p>
        </w:tc>
      </w:tr>
    </w:tbl>
    <w:p w14:paraId="5C05A1D8" w14:textId="77777777" w:rsidR="008773FD" w:rsidRDefault="008773FD" w:rsidP="002F329B">
      <w:pPr>
        <w:spacing w:after="0"/>
        <w:jc w:val="both"/>
      </w:pPr>
    </w:p>
    <w:p w14:paraId="5F1ECB43" w14:textId="77777777" w:rsidR="002F329B" w:rsidRDefault="002F329B" w:rsidP="002F329B">
      <w:pPr>
        <w:spacing w:after="0"/>
        <w:jc w:val="both"/>
      </w:pPr>
    </w:p>
    <w:p w14:paraId="3B68A37B" w14:textId="1B4F096D" w:rsidR="00A66D32" w:rsidRPr="003A4BA9" w:rsidRDefault="00A66D32" w:rsidP="002F329B">
      <w:pPr>
        <w:spacing w:after="0"/>
        <w:jc w:val="both"/>
      </w:pPr>
    </w:p>
    <w:sectPr w:rsidR="00A66D32" w:rsidRPr="003A4BA9" w:rsidSect="00343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E628" w14:textId="77777777" w:rsidR="000778AC" w:rsidRDefault="000778AC" w:rsidP="008773FD">
      <w:pPr>
        <w:spacing w:after="0" w:line="240" w:lineRule="auto"/>
      </w:pPr>
      <w:r>
        <w:separator/>
      </w:r>
    </w:p>
  </w:endnote>
  <w:endnote w:type="continuationSeparator" w:id="0">
    <w:p w14:paraId="26937EC6" w14:textId="77777777" w:rsidR="000778AC" w:rsidRDefault="000778AC" w:rsidP="0087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F472" w14:textId="77777777" w:rsidR="00957DD3" w:rsidRDefault="00957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AE74" w14:textId="77777777" w:rsidR="009F3D0F" w:rsidRPr="00E075FD" w:rsidRDefault="009F3D0F" w:rsidP="00343289">
    <w:pPr>
      <w:pStyle w:val="Footer"/>
      <w:spacing w:after="0" w:line="240" w:lineRule="auto"/>
      <w:jc w:val="right"/>
      <w:rPr>
        <w:szCs w:val="4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8581" w14:textId="77777777" w:rsidR="009F3D0F" w:rsidRDefault="009F3D0F" w:rsidP="00343289">
    <w:pPr>
      <w:pStyle w:val="Footer"/>
      <w:spacing w:after="0" w:line="240" w:lineRule="auto"/>
      <w:ind w:left="-57"/>
      <w:rPr>
        <w:color w:val="005D97"/>
        <w:sz w:val="18"/>
      </w:rPr>
    </w:pPr>
  </w:p>
  <w:p w14:paraId="31257F07" w14:textId="77777777" w:rsidR="009F3D0F" w:rsidRDefault="009F3D0F" w:rsidP="00343289">
    <w:pPr>
      <w:pStyle w:val="Footer"/>
      <w:spacing w:after="0" w:line="240" w:lineRule="auto"/>
      <w:ind w:left="-57"/>
      <w:rPr>
        <w:color w:val="005D97"/>
        <w:sz w:val="18"/>
      </w:rPr>
    </w:pPr>
  </w:p>
  <w:p w14:paraId="06870F3B" w14:textId="183FF667" w:rsidR="009F3D0F" w:rsidRPr="00DA0B5E" w:rsidRDefault="009F3D0F" w:rsidP="00343289">
    <w:pPr>
      <w:pStyle w:val="Footer"/>
      <w:spacing w:after="0" w:line="240" w:lineRule="auto"/>
      <w:ind w:left="-57"/>
      <w:rPr>
        <w:color w:val="005D97"/>
        <w:sz w:val="18"/>
      </w:rPr>
    </w:pPr>
    <w:r>
      <w:rPr>
        <w:noProof/>
        <w:color w:val="005D97"/>
        <w:sz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25F71" wp14:editId="7062C582">
              <wp:simplePos x="0" y="0"/>
              <wp:positionH relativeFrom="column">
                <wp:posOffset>-24765</wp:posOffset>
              </wp:positionH>
              <wp:positionV relativeFrom="paragraph">
                <wp:posOffset>-186690</wp:posOffset>
              </wp:positionV>
              <wp:extent cx="5822315" cy="635"/>
              <wp:effectExtent l="0" t="0" r="6985" b="18415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3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D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4D2C0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1.95pt;margin-top:-14.7pt;width:458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" strokecolor="#005d97"/>
          </w:pict>
        </mc:Fallback>
      </mc:AlternateContent>
    </w:r>
    <w:r>
      <w:rPr>
        <w:color w:val="005D97"/>
        <w:sz w:val="18"/>
      </w:rPr>
      <w:t>Adresa: Dervish Rozhaja nr. 12, 10000 Prishtinë, Kosovë</w:t>
    </w:r>
  </w:p>
  <w:p w14:paraId="065FFC31" w14:textId="77777777" w:rsidR="009F3D0F" w:rsidRDefault="009F3D0F" w:rsidP="00343289">
    <w:pPr>
      <w:pStyle w:val="Footer"/>
      <w:spacing w:after="0" w:line="240" w:lineRule="auto"/>
      <w:ind w:left="-57"/>
    </w:pPr>
    <w:r>
      <w:rPr>
        <w:color w:val="005D97"/>
        <w:sz w:val="18"/>
      </w:rPr>
      <w:t>Tel: 038 247 615 lok. 101, Fax: 038 247 620, E-mail: info@ero-ks.org, web: www.ero-ks.org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32F63" w14:textId="77777777" w:rsidR="000778AC" w:rsidRDefault="000778AC" w:rsidP="008773FD">
      <w:pPr>
        <w:spacing w:after="0" w:line="240" w:lineRule="auto"/>
      </w:pPr>
      <w:r>
        <w:separator/>
      </w:r>
    </w:p>
  </w:footnote>
  <w:footnote w:type="continuationSeparator" w:id="0">
    <w:p w14:paraId="4FA336EC" w14:textId="77777777" w:rsidR="000778AC" w:rsidRDefault="000778AC" w:rsidP="008773FD">
      <w:pPr>
        <w:spacing w:after="0" w:line="240" w:lineRule="auto"/>
      </w:pPr>
      <w:r>
        <w:continuationSeparator/>
      </w:r>
    </w:p>
  </w:footnote>
  <w:footnote w:id="1">
    <w:p w14:paraId="6D0E7BDE" w14:textId="5051488F" w:rsidR="00881733" w:rsidRPr="00D42917" w:rsidRDefault="00881733" w:rsidP="00881733">
      <w:pPr>
        <w:pStyle w:val="FootnoteText"/>
      </w:pPr>
      <w:r>
        <w:rPr>
          <w:rStyle w:val="FootnoteReference"/>
        </w:rPr>
        <w:footnoteRef/>
      </w:r>
      <w:r>
        <w:t xml:space="preserve"> Izvor</w:t>
      </w:r>
      <w:r>
        <w:t xml:space="preserve">: Eurostat, </w:t>
      </w:r>
      <w:hyperlink r:id="rId1" w:history="1">
        <w:r w:rsidRPr="009562B2">
          <w:t>https://appsso.eurostat.ec.europa.eu/nui/submitViewTableAction.do</w:t>
        </w:r>
      </w:hyperlink>
      <w:r>
        <w:t xml:space="preserve"> (poseto dana </w:t>
      </w:r>
      <w:r>
        <w:t xml:space="preserve"> 27.01.2020)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1C45" w14:textId="77777777" w:rsidR="00957DD3" w:rsidRDefault="00957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2F30" w14:textId="77777777" w:rsidR="009F3D0F" w:rsidRPr="000F4DB3" w:rsidRDefault="009F3D0F">
    <w:pPr>
      <w:pStyle w:val="Header"/>
      <w:rPr>
        <w:rFonts w:ascii="Arial" w:hAnsi="Arial"/>
        <w:b w:val="0"/>
        <w:bCs/>
        <w:color w:val="auto"/>
        <w:sz w:val="18"/>
      </w:rPr>
    </w:pPr>
    <w:r w:rsidRPr="00F816B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B9B047C" wp14:editId="6507FF6E">
          <wp:simplePos x="0" y="0"/>
          <wp:positionH relativeFrom="column">
            <wp:posOffset>-273685</wp:posOffset>
          </wp:positionH>
          <wp:positionV relativeFrom="topMargin">
            <wp:posOffset>153035</wp:posOffset>
          </wp:positionV>
          <wp:extent cx="573405" cy="687070"/>
          <wp:effectExtent l="19050" t="0" r="0" b="0"/>
          <wp:wrapSquare wrapText="bothSides"/>
          <wp:docPr id="3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66"/>
                  <a:stretch/>
                </pic:blipFill>
                <pic:spPr bwMode="auto">
                  <a:xfrm>
                    <a:off x="0" y="0"/>
                    <a:ext cx="573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AC98" w14:textId="77777777" w:rsidR="009F3D0F" w:rsidRDefault="009F3D0F" w:rsidP="00343289">
    <w:pPr>
      <w:pStyle w:val="Header"/>
      <w:jc w:val="center"/>
    </w:pPr>
    <w:r w:rsidRPr="00DA0941">
      <w:rPr>
        <w:noProof/>
        <w:lang w:val="en-US"/>
      </w:rPr>
      <w:drawing>
        <wp:inline distT="0" distB="0" distL="0" distR="0" wp14:anchorId="7EDF1EDC" wp14:editId="50AFE072">
          <wp:extent cx="5109182" cy="1047664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811" cy="104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4D3"/>
      </v:shape>
    </w:pict>
  </w:numPicBullet>
  <w:abstractNum w:abstractNumId="0">
    <w:nsid w:val="0BEE6973"/>
    <w:multiLevelType w:val="hybridMultilevel"/>
    <w:tmpl w:val="6E949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8D8"/>
    <w:multiLevelType w:val="hybridMultilevel"/>
    <w:tmpl w:val="1E96A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505D"/>
    <w:multiLevelType w:val="hybridMultilevel"/>
    <w:tmpl w:val="9402ACA6"/>
    <w:lvl w:ilvl="0" w:tplc="29B801B0">
      <w:start w:val="1"/>
      <w:numFmt w:val="decimal"/>
      <w:lvlText w:val="%1 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825"/>
    <w:multiLevelType w:val="multilevel"/>
    <w:tmpl w:val="83F862F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9D57E23"/>
    <w:multiLevelType w:val="hybridMultilevel"/>
    <w:tmpl w:val="B0622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12E4"/>
    <w:multiLevelType w:val="hybridMultilevel"/>
    <w:tmpl w:val="AC221C9C"/>
    <w:lvl w:ilvl="0" w:tplc="29B801B0">
      <w:start w:val="1"/>
      <w:numFmt w:val="decimal"/>
      <w:lvlText w:val="%1    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9D6BD3"/>
    <w:multiLevelType w:val="hybridMultilevel"/>
    <w:tmpl w:val="BA6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074F"/>
    <w:multiLevelType w:val="multilevel"/>
    <w:tmpl w:val="324CE23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0"/>
        </w:tabs>
        <w:ind w:left="81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77213B4"/>
    <w:multiLevelType w:val="hybridMultilevel"/>
    <w:tmpl w:val="E522D98E"/>
    <w:lvl w:ilvl="0" w:tplc="08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B3F22"/>
    <w:multiLevelType w:val="multilevel"/>
    <w:tmpl w:val="390E3110"/>
    <w:lvl w:ilvl="0">
      <w:start w:val="1"/>
      <w:numFmt w:val="decimal"/>
      <w:lvlText w:val="%1"/>
      <w:lvlJc w:val="left"/>
      <w:pPr>
        <w:ind w:left="1995" w:hanging="16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42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7FA03BD"/>
    <w:multiLevelType w:val="hybridMultilevel"/>
    <w:tmpl w:val="D8408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B70"/>
    <w:multiLevelType w:val="hybridMultilevel"/>
    <w:tmpl w:val="795E65A4"/>
    <w:lvl w:ilvl="0" w:tplc="29B801B0">
      <w:start w:val="1"/>
      <w:numFmt w:val="decimal"/>
      <w:lvlText w:val="%1   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287A3B"/>
    <w:multiLevelType w:val="hybridMultilevel"/>
    <w:tmpl w:val="18EA2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4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D"/>
    <w:rsid w:val="000025F6"/>
    <w:rsid w:val="0000714B"/>
    <w:rsid w:val="00012400"/>
    <w:rsid w:val="0001374E"/>
    <w:rsid w:val="00013C9F"/>
    <w:rsid w:val="00021D86"/>
    <w:rsid w:val="000231E6"/>
    <w:rsid w:val="00024C9E"/>
    <w:rsid w:val="00031E79"/>
    <w:rsid w:val="00033451"/>
    <w:rsid w:val="00041380"/>
    <w:rsid w:val="000458E8"/>
    <w:rsid w:val="00054CBA"/>
    <w:rsid w:val="0005589A"/>
    <w:rsid w:val="000635BE"/>
    <w:rsid w:val="00066A4E"/>
    <w:rsid w:val="000778AC"/>
    <w:rsid w:val="00082D42"/>
    <w:rsid w:val="00086E03"/>
    <w:rsid w:val="000A1E0D"/>
    <w:rsid w:val="000A596D"/>
    <w:rsid w:val="000D06E8"/>
    <w:rsid w:val="000D1855"/>
    <w:rsid w:val="000D4BEB"/>
    <w:rsid w:val="00103AFC"/>
    <w:rsid w:val="001051A5"/>
    <w:rsid w:val="0011115E"/>
    <w:rsid w:val="001264F5"/>
    <w:rsid w:val="00127C6A"/>
    <w:rsid w:val="00137754"/>
    <w:rsid w:val="00152064"/>
    <w:rsid w:val="001527E2"/>
    <w:rsid w:val="00172F50"/>
    <w:rsid w:val="00180CE9"/>
    <w:rsid w:val="00182233"/>
    <w:rsid w:val="00185B0A"/>
    <w:rsid w:val="00190A7F"/>
    <w:rsid w:val="001B277C"/>
    <w:rsid w:val="001C1D9D"/>
    <w:rsid w:val="001C3094"/>
    <w:rsid w:val="001D1277"/>
    <w:rsid w:val="001E09BE"/>
    <w:rsid w:val="001F1C96"/>
    <w:rsid w:val="0020294A"/>
    <w:rsid w:val="00214901"/>
    <w:rsid w:val="002439FD"/>
    <w:rsid w:val="00275ECF"/>
    <w:rsid w:val="00281C9E"/>
    <w:rsid w:val="002841BF"/>
    <w:rsid w:val="0029499A"/>
    <w:rsid w:val="00294DC1"/>
    <w:rsid w:val="002A2737"/>
    <w:rsid w:val="002A3F11"/>
    <w:rsid w:val="002C11F5"/>
    <w:rsid w:val="002C37B1"/>
    <w:rsid w:val="002C5DD1"/>
    <w:rsid w:val="002C76D7"/>
    <w:rsid w:val="002C77AC"/>
    <w:rsid w:val="002D3E7F"/>
    <w:rsid w:val="002D7E52"/>
    <w:rsid w:val="002D7E9B"/>
    <w:rsid w:val="002F3191"/>
    <w:rsid w:val="002F329B"/>
    <w:rsid w:val="00301B7C"/>
    <w:rsid w:val="00306BF1"/>
    <w:rsid w:val="00310BCF"/>
    <w:rsid w:val="003142CD"/>
    <w:rsid w:val="003156FC"/>
    <w:rsid w:val="0031646D"/>
    <w:rsid w:val="0031697C"/>
    <w:rsid w:val="003259CD"/>
    <w:rsid w:val="00331D82"/>
    <w:rsid w:val="00340FFE"/>
    <w:rsid w:val="00343289"/>
    <w:rsid w:val="003466AB"/>
    <w:rsid w:val="00351765"/>
    <w:rsid w:val="00374A67"/>
    <w:rsid w:val="00387B47"/>
    <w:rsid w:val="0039096A"/>
    <w:rsid w:val="00392AF4"/>
    <w:rsid w:val="003C0145"/>
    <w:rsid w:val="003C4350"/>
    <w:rsid w:val="003C61E2"/>
    <w:rsid w:val="003D55CF"/>
    <w:rsid w:val="003E40DB"/>
    <w:rsid w:val="00404139"/>
    <w:rsid w:val="00417B5E"/>
    <w:rsid w:val="00423523"/>
    <w:rsid w:val="00426648"/>
    <w:rsid w:val="004336A2"/>
    <w:rsid w:val="004453A0"/>
    <w:rsid w:val="00447A8A"/>
    <w:rsid w:val="004638BB"/>
    <w:rsid w:val="004649E3"/>
    <w:rsid w:val="00466297"/>
    <w:rsid w:val="00466795"/>
    <w:rsid w:val="00471E2F"/>
    <w:rsid w:val="004736E4"/>
    <w:rsid w:val="00475BF7"/>
    <w:rsid w:val="004923F4"/>
    <w:rsid w:val="004A7AD9"/>
    <w:rsid w:val="004B0CBA"/>
    <w:rsid w:val="004D1C45"/>
    <w:rsid w:val="004D6C98"/>
    <w:rsid w:val="00501E15"/>
    <w:rsid w:val="00503DD8"/>
    <w:rsid w:val="005129C7"/>
    <w:rsid w:val="00512F3A"/>
    <w:rsid w:val="005143FA"/>
    <w:rsid w:val="0052258A"/>
    <w:rsid w:val="00522A65"/>
    <w:rsid w:val="00526E92"/>
    <w:rsid w:val="00541D5D"/>
    <w:rsid w:val="00543654"/>
    <w:rsid w:val="005478FC"/>
    <w:rsid w:val="005515D9"/>
    <w:rsid w:val="00552761"/>
    <w:rsid w:val="005635CB"/>
    <w:rsid w:val="00564792"/>
    <w:rsid w:val="005663BF"/>
    <w:rsid w:val="00570883"/>
    <w:rsid w:val="00582E4C"/>
    <w:rsid w:val="00586E84"/>
    <w:rsid w:val="005904D0"/>
    <w:rsid w:val="005D35F3"/>
    <w:rsid w:val="005E332C"/>
    <w:rsid w:val="006033B1"/>
    <w:rsid w:val="006118BC"/>
    <w:rsid w:val="00621E1C"/>
    <w:rsid w:val="006221F4"/>
    <w:rsid w:val="0062462A"/>
    <w:rsid w:val="00624C95"/>
    <w:rsid w:val="00627DE1"/>
    <w:rsid w:val="00650C28"/>
    <w:rsid w:val="0066504E"/>
    <w:rsid w:val="0066600D"/>
    <w:rsid w:val="00690424"/>
    <w:rsid w:val="006A334F"/>
    <w:rsid w:val="006A590A"/>
    <w:rsid w:val="006B7DE1"/>
    <w:rsid w:val="006F7498"/>
    <w:rsid w:val="00724223"/>
    <w:rsid w:val="007271F7"/>
    <w:rsid w:val="00753E1B"/>
    <w:rsid w:val="00770DD6"/>
    <w:rsid w:val="00773714"/>
    <w:rsid w:val="0079783A"/>
    <w:rsid w:val="007A7B60"/>
    <w:rsid w:val="007B1A17"/>
    <w:rsid w:val="007C4CE3"/>
    <w:rsid w:val="007D3345"/>
    <w:rsid w:val="007E4CF3"/>
    <w:rsid w:val="007E7695"/>
    <w:rsid w:val="00806B2D"/>
    <w:rsid w:val="00811875"/>
    <w:rsid w:val="0081460B"/>
    <w:rsid w:val="008232A8"/>
    <w:rsid w:val="008270B4"/>
    <w:rsid w:val="00842F53"/>
    <w:rsid w:val="00854E43"/>
    <w:rsid w:val="0085542A"/>
    <w:rsid w:val="00864CC8"/>
    <w:rsid w:val="0087448B"/>
    <w:rsid w:val="008773FD"/>
    <w:rsid w:val="00881733"/>
    <w:rsid w:val="00885C06"/>
    <w:rsid w:val="008921E6"/>
    <w:rsid w:val="008974BB"/>
    <w:rsid w:val="008A3962"/>
    <w:rsid w:val="008D4701"/>
    <w:rsid w:val="008D4F45"/>
    <w:rsid w:val="008E1C63"/>
    <w:rsid w:val="008E348A"/>
    <w:rsid w:val="008E7213"/>
    <w:rsid w:val="008F1716"/>
    <w:rsid w:val="008F61BC"/>
    <w:rsid w:val="008F7466"/>
    <w:rsid w:val="00901FF6"/>
    <w:rsid w:val="00912C2E"/>
    <w:rsid w:val="00912D2F"/>
    <w:rsid w:val="00920BFC"/>
    <w:rsid w:val="00924804"/>
    <w:rsid w:val="00931BCC"/>
    <w:rsid w:val="00942C62"/>
    <w:rsid w:val="00951E51"/>
    <w:rsid w:val="00957DD3"/>
    <w:rsid w:val="00960892"/>
    <w:rsid w:val="0096508C"/>
    <w:rsid w:val="009720DC"/>
    <w:rsid w:val="0097410A"/>
    <w:rsid w:val="00981459"/>
    <w:rsid w:val="00996607"/>
    <w:rsid w:val="009B3EC4"/>
    <w:rsid w:val="009C79CC"/>
    <w:rsid w:val="009E231A"/>
    <w:rsid w:val="009F3D0F"/>
    <w:rsid w:val="009F466A"/>
    <w:rsid w:val="00A044E1"/>
    <w:rsid w:val="00A078DB"/>
    <w:rsid w:val="00A1639C"/>
    <w:rsid w:val="00A200BD"/>
    <w:rsid w:val="00A20B1B"/>
    <w:rsid w:val="00A2584C"/>
    <w:rsid w:val="00A46185"/>
    <w:rsid w:val="00A531C3"/>
    <w:rsid w:val="00A66D32"/>
    <w:rsid w:val="00A672F4"/>
    <w:rsid w:val="00A67353"/>
    <w:rsid w:val="00A67A66"/>
    <w:rsid w:val="00A67D35"/>
    <w:rsid w:val="00A864F7"/>
    <w:rsid w:val="00AB08DD"/>
    <w:rsid w:val="00AB3B41"/>
    <w:rsid w:val="00AB3B5C"/>
    <w:rsid w:val="00AC189C"/>
    <w:rsid w:val="00AD287E"/>
    <w:rsid w:val="00AD630F"/>
    <w:rsid w:val="00AD66A7"/>
    <w:rsid w:val="00B065CF"/>
    <w:rsid w:val="00B06E9E"/>
    <w:rsid w:val="00B253D0"/>
    <w:rsid w:val="00B36E88"/>
    <w:rsid w:val="00B5228A"/>
    <w:rsid w:val="00B52624"/>
    <w:rsid w:val="00B61F6F"/>
    <w:rsid w:val="00B90801"/>
    <w:rsid w:val="00B9189E"/>
    <w:rsid w:val="00BD043F"/>
    <w:rsid w:val="00BD79C2"/>
    <w:rsid w:val="00BF21DC"/>
    <w:rsid w:val="00BF3B92"/>
    <w:rsid w:val="00BF4F01"/>
    <w:rsid w:val="00BF65B7"/>
    <w:rsid w:val="00BF7B36"/>
    <w:rsid w:val="00C0378D"/>
    <w:rsid w:val="00C07D4F"/>
    <w:rsid w:val="00C10A7B"/>
    <w:rsid w:val="00C35A1B"/>
    <w:rsid w:val="00C36BF1"/>
    <w:rsid w:val="00C431D5"/>
    <w:rsid w:val="00C5759B"/>
    <w:rsid w:val="00C601D7"/>
    <w:rsid w:val="00C6081F"/>
    <w:rsid w:val="00C6478E"/>
    <w:rsid w:val="00C7163A"/>
    <w:rsid w:val="00C77518"/>
    <w:rsid w:val="00C80DE6"/>
    <w:rsid w:val="00C93CB4"/>
    <w:rsid w:val="00CB4322"/>
    <w:rsid w:val="00CB668B"/>
    <w:rsid w:val="00CC0E46"/>
    <w:rsid w:val="00CC15F5"/>
    <w:rsid w:val="00CC5212"/>
    <w:rsid w:val="00D049F7"/>
    <w:rsid w:val="00D135A5"/>
    <w:rsid w:val="00D17A05"/>
    <w:rsid w:val="00D222CC"/>
    <w:rsid w:val="00D336CF"/>
    <w:rsid w:val="00D42917"/>
    <w:rsid w:val="00D51FBD"/>
    <w:rsid w:val="00D52EE6"/>
    <w:rsid w:val="00D662B2"/>
    <w:rsid w:val="00D70268"/>
    <w:rsid w:val="00D80F92"/>
    <w:rsid w:val="00D82578"/>
    <w:rsid w:val="00D95B9A"/>
    <w:rsid w:val="00D969E4"/>
    <w:rsid w:val="00DA4329"/>
    <w:rsid w:val="00DA5824"/>
    <w:rsid w:val="00DB3DBF"/>
    <w:rsid w:val="00DB707A"/>
    <w:rsid w:val="00DC5348"/>
    <w:rsid w:val="00DC6892"/>
    <w:rsid w:val="00DE404D"/>
    <w:rsid w:val="00E035C0"/>
    <w:rsid w:val="00E1137B"/>
    <w:rsid w:val="00E21740"/>
    <w:rsid w:val="00E23CB8"/>
    <w:rsid w:val="00E322B1"/>
    <w:rsid w:val="00E4293C"/>
    <w:rsid w:val="00E5203F"/>
    <w:rsid w:val="00E825FD"/>
    <w:rsid w:val="00E94312"/>
    <w:rsid w:val="00E94F4E"/>
    <w:rsid w:val="00EA11C0"/>
    <w:rsid w:val="00EA1763"/>
    <w:rsid w:val="00EB09AD"/>
    <w:rsid w:val="00EC4BF8"/>
    <w:rsid w:val="00EC5430"/>
    <w:rsid w:val="00EC55C7"/>
    <w:rsid w:val="00ED4FFC"/>
    <w:rsid w:val="00ED5E4D"/>
    <w:rsid w:val="00EF1BEC"/>
    <w:rsid w:val="00F17E8B"/>
    <w:rsid w:val="00F21F31"/>
    <w:rsid w:val="00F365C8"/>
    <w:rsid w:val="00F36BBD"/>
    <w:rsid w:val="00F379A9"/>
    <w:rsid w:val="00F5404C"/>
    <w:rsid w:val="00F5513F"/>
    <w:rsid w:val="00F70D92"/>
    <w:rsid w:val="00FA38FB"/>
    <w:rsid w:val="00FB0610"/>
    <w:rsid w:val="00FB0D01"/>
    <w:rsid w:val="00FB2401"/>
    <w:rsid w:val="00FB3777"/>
    <w:rsid w:val="00FB3B1E"/>
    <w:rsid w:val="00FC0AD7"/>
    <w:rsid w:val="00FC517F"/>
    <w:rsid w:val="00FD6318"/>
    <w:rsid w:val="00FF0140"/>
    <w:rsid w:val="00FF4B9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B6F4"/>
  <w15:docId w15:val="{42FBF289-EA73-4F30-BFB1-BE2C2DA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FD"/>
    <w:rPr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3FD"/>
    <w:pPr>
      <w:keepNext/>
      <w:numPr>
        <w:numId w:val="1"/>
      </w:numPr>
      <w:spacing w:before="360"/>
      <w:outlineLvl w:val="0"/>
    </w:pPr>
    <w:rPr>
      <w:rFonts w:ascii="Calibri" w:eastAsia="Times New Roman" w:hAnsi="Calibri" w:cs="Arial"/>
      <w:b/>
      <w:bCs/>
      <w:color w:val="003366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3FD"/>
    <w:pPr>
      <w:keepNext/>
      <w:numPr>
        <w:ilvl w:val="1"/>
        <w:numId w:val="1"/>
      </w:numPr>
      <w:autoSpaceDE w:val="0"/>
      <w:autoSpaceDN w:val="0"/>
      <w:adjustRightInd w:val="0"/>
      <w:outlineLvl w:val="1"/>
    </w:pPr>
    <w:rPr>
      <w:rFonts w:ascii="Calibri" w:eastAsia="Times New Roman" w:hAnsi="Calibri" w:cs="Arial"/>
      <w:b/>
      <w:bCs/>
      <w:color w:val="003366"/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773FD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2C11F5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8773FD"/>
    <w:rPr>
      <w:rFonts w:ascii="Calibri" w:eastAsia="Times New Roman" w:hAnsi="Calibri" w:cs="Arial"/>
      <w:b/>
      <w:bCs/>
      <w:color w:val="003366"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rsid w:val="008773FD"/>
    <w:rPr>
      <w:rFonts w:ascii="Calibri" w:eastAsia="Times New Roman" w:hAnsi="Calibri" w:cs="Arial"/>
      <w:b/>
      <w:bCs/>
      <w:color w:val="003366"/>
      <w:sz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8773FD"/>
    <w:rPr>
      <w:rFonts w:ascii="Calibri" w:eastAsia="Times New Roman" w:hAnsi="Calibri" w:cs="Arial"/>
      <w:b/>
      <w:bCs/>
      <w:i/>
      <w:color w:val="003366"/>
      <w:szCs w:val="20"/>
      <w:lang w:val="sq-AL"/>
    </w:rPr>
  </w:style>
  <w:style w:type="paragraph" w:styleId="Header">
    <w:name w:val="header"/>
    <w:basedOn w:val="Normal"/>
    <w:link w:val="HeaderChar"/>
    <w:uiPriority w:val="99"/>
    <w:rsid w:val="008773FD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Arial"/>
      <w:b/>
      <w:color w:val="FFCC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73FD"/>
    <w:rPr>
      <w:rFonts w:ascii="Calibri" w:eastAsia="Times New Roman" w:hAnsi="Calibri" w:cs="Arial"/>
      <w:b/>
      <w:color w:val="FFCC00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8773FD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73FD"/>
    <w:rPr>
      <w:rFonts w:ascii="Arial" w:eastAsia="Times New Roman" w:hAnsi="Arial" w:cs="Arial"/>
      <w:szCs w:val="24"/>
      <w:lang w:val="sq-AL"/>
    </w:rPr>
  </w:style>
  <w:style w:type="paragraph" w:styleId="Caption">
    <w:name w:val="caption"/>
    <w:aliases w:val="Tabellen"/>
    <w:basedOn w:val="Normal"/>
    <w:next w:val="Normal"/>
    <w:uiPriority w:val="35"/>
    <w:qFormat/>
    <w:rsid w:val="008773FD"/>
    <w:pPr>
      <w:keepNext/>
      <w:jc w:val="both"/>
    </w:pPr>
    <w:rPr>
      <w:rFonts w:ascii="Calibri" w:eastAsia="Times New Roman" w:hAnsi="Calibri" w:cs="Arial"/>
      <w:b/>
      <w:bCs/>
      <w:i/>
      <w:color w:val="003366"/>
      <w:szCs w:val="24"/>
    </w:rPr>
  </w:style>
  <w:style w:type="paragraph" w:styleId="FootnoteText">
    <w:name w:val="footnote text"/>
    <w:basedOn w:val="Normal"/>
    <w:link w:val="FootnoteTextChar"/>
    <w:uiPriority w:val="99"/>
    <w:rsid w:val="008773FD"/>
    <w:pPr>
      <w:spacing w:after="120" w:line="240" w:lineRule="auto"/>
    </w:pPr>
    <w:rPr>
      <w:rFonts w:ascii="Calibri" w:eastAsia="Times New Roman" w:hAnsi="Calibri" w:cs="Arial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73FD"/>
    <w:rPr>
      <w:rFonts w:ascii="Calibri" w:eastAsia="Times New Roman" w:hAnsi="Calibri" w:cs="Arial"/>
      <w:sz w:val="20"/>
      <w:szCs w:val="24"/>
      <w:lang w:val="sq-AL"/>
    </w:rPr>
  </w:style>
  <w:style w:type="character" w:styleId="FootnoteReference">
    <w:name w:val="footnote reference"/>
    <w:basedOn w:val="DefaultParagraphFont"/>
    <w:uiPriority w:val="99"/>
    <w:rsid w:val="008773FD"/>
    <w:rPr>
      <w:vertAlign w:val="superscript"/>
    </w:rPr>
  </w:style>
  <w:style w:type="character" w:styleId="Hyperlink">
    <w:name w:val="Hyperlink"/>
    <w:basedOn w:val="DefaultParagraphFont"/>
    <w:uiPriority w:val="99"/>
    <w:rsid w:val="008773FD"/>
    <w:rPr>
      <w:color w:val="0000FF"/>
      <w:u w:val="single"/>
    </w:rPr>
  </w:style>
  <w:style w:type="paragraph" w:customStyle="1" w:styleId="Equation">
    <w:name w:val="Equation"/>
    <w:basedOn w:val="Normal"/>
    <w:link w:val="EquationChar"/>
    <w:qFormat/>
    <w:rsid w:val="008773FD"/>
    <w:pPr>
      <w:spacing w:before="240" w:after="240" w:line="240" w:lineRule="auto"/>
      <w:ind w:left="2160" w:hanging="1440"/>
    </w:pPr>
    <w:rPr>
      <w:rFonts w:ascii="Calibri" w:eastAsia="Times New Roman" w:hAnsi="Calibri" w:cs="Times New Roman"/>
      <w:i/>
      <w:szCs w:val="24"/>
      <w:lang w:eastAsia="en-GB"/>
    </w:rPr>
  </w:style>
  <w:style w:type="character" w:customStyle="1" w:styleId="EquationChar">
    <w:name w:val="Equation Char"/>
    <w:basedOn w:val="DefaultParagraphFont"/>
    <w:link w:val="Equation"/>
    <w:rsid w:val="008773FD"/>
    <w:rPr>
      <w:rFonts w:ascii="Calibri" w:eastAsia="Times New Roman" w:hAnsi="Calibri" w:cs="Times New Roman"/>
      <w:i/>
      <w:szCs w:val="24"/>
      <w:lang w:val="sq-AL" w:eastAsia="en-GB"/>
    </w:rPr>
  </w:style>
  <w:style w:type="table" w:styleId="TableGrid">
    <w:name w:val="Table Grid"/>
    <w:basedOn w:val="TableNormal"/>
    <w:uiPriority w:val="59"/>
    <w:rsid w:val="008773FD"/>
    <w:pPr>
      <w:spacing w:after="0" w:line="240" w:lineRule="auto"/>
    </w:pPr>
    <w:rPr>
      <w:rFonts w:ascii="Calibri" w:eastAsia="Times New Roman" w:hAnsi="Calibri" w:cs="Calibri"/>
      <w:sz w:val="20"/>
      <w:szCs w:val="20"/>
      <w:lang w:val="sq-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FD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773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64F5"/>
    <w:pPr>
      <w:shd w:val="clear" w:color="auto" w:fill="002060"/>
      <w:tabs>
        <w:tab w:val="center" w:pos="4320"/>
      </w:tabs>
      <w:spacing w:before="240"/>
    </w:pPr>
    <w:rPr>
      <w:rFonts w:ascii="Calibri" w:eastAsia="Times New Roman" w:hAnsi="Calibri" w:cs="Arial Bold"/>
      <w:b/>
      <w:bCs/>
      <w:color w:val="FFC000"/>
      <w:sz w:val="4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264F5"/>
    <w:rPr>
      <w:rFonts w:ascii="Calibri" w:eastAsia="Times New Roman" w:hAnsi="Calibri" w:cs="Arial Bold"/>
      <w:b/>
      <w:bCs/>
      <w:color w:val="FFC000"/>
      <w:sz w:val="48"/>
      <w:szCs w:val="24"/>
      <w:shd w:val="clear" w:color="auto" w:fill="002060"/>
      <w:lang w:val="sq-AL"/>
    </w:rPr>
  </w:style>
  <w:style w:type="paragraph" w:customStyle="1" w:styleId="ReportDate">
    <w:name w:val="Report Date"/>
    <w:basedOn w:val="Normal"/>
    <w:link w:val="ReportDateChar"/>
    <w:qFormat/>
    <w:rsid w:val="001264F5"/>
    <w:pPr>
      <w:tabs>
        <w:tab w:val="left" w:pos="2175"/>
      </w:tabs>
      <w:jc w:val="center"/>
    </w:pPr>
    <w:rPr>
      <w:b/>
      <w:bCs/>
      <w:color w:val="005D97"/>
      <w:sz w:val="36"/>
      <w:szCs w:val="36"/>
    </w:rPr>
  </w:style>
  <w:style w:type="character" w:customStyle="1" w:styleId="ReportDateChar">
    <w:name w:val="Report Date Char"/>
    <w:basedOn w:val="DefaultParagraphFont"/>
    <w:link w:val="ReportDate"/>
    <w:rsid w:val="001264F5"/>
    <w:rPr>
      <w:rFonts w:eastAsia="MS Mincho"/>
      <w:b/>
      <w:bCs/>
      <w:color w:val="005D97"/>
      <w:sz w:val="36"/>
      <w:szCs w:val="36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FB3B1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3B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B1E"/>
    <w:pPr>
      <w:spacing w:after="100"/>
      <w:ind w:left="220"/>
    </w:pPr>
  </w:style>
  <w:style w:type="paragraph" w:customStyle="1" w:styleId="ReportTitle">
    <w:name w:val="Report Title"/>
    <w:basedOn w:val="Title"/>
    <w:link w:val="ReportTitleChar"/>
    <w:qFormat/>
    <w:rsid w:val="00B9189E"/>
    <w:pPr>
      <w:shd w:val="clear" w:color="auto" w:fill="005D97"/>
      <w:spacing w:before="0" w:after="0"/>
      <w:jc w:val="center"/>
    </w:pPr>
    <w:rPr>
      <w:rFonts w:cs="Arial"/>
      <w:color w:val="8064A2"/>
      <w:szCs w:val="40"/>
      <w:lang w:val="en-US"/>
    </w:rPr>
  </w:style>
  <w:style w:type="character" w:customStyle="1" w:styleId="ReportTitleChar">
    <w:name w:val="Report Title Char"/>
    <w:basedOn w:val="TitleChar"/>
    <w:link w:val="ReportTitle"/>
    <w:rsid w:val="00B9189E"/>
    <w:rPr>
      <w:rFonts w:ascii="Calibri" w:eastAsia="Times New Roman" w:hAnsi="Calibri" w:cs="Arial"/>
      <w:b/>
      <w:bCs/>
      <w:color w:val="8064A2"/>
      <w:sz w:val="48"/>
      <w:szCs w:val="40"/>
      <w:shd w:val="clear" w:color="auto" w:fill="005D97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7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777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B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.pricing-tariffs@ero-k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so.eurostat.ec.europa.eu/nui/submitViewTableAction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A76D-5635-49EF-BE91-8693A58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yrudari</dc:creator>
  <cp:lastModifiedBy>Alba Begolli</cp:lastModifiedBy>
  <cp:revision>34</cp:revision>
  <dcterms:created xsi:type="dcterms:W3CDTF">2021-08-27T06:23:00Z</dcterms:created>
  <dcterms:modified xsi:type="dcterms:W3CDTF">2021-08-27T11:53:00Z</dcterms:modified>
</cp:coreProperties>
</file>