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3C" w:rsidRPr="00CC5249" w:rsidRDefault="0075093C" w:rsidP="0075093C">
      <w:pPr>
        <w:rPr>
          <w:lang w:val="sq-AL"/>
        </w:rPr>
      </w:pPr>
    </w:p>
    <w:p w:rsidR="0075093C" w:rsidRPr="00CC5249" w:rsidRDefault="0075093C" w:rsidP="0075093C">
      <w:pPr>
        <w:rPr>
          <w:lang w:val="sq-AL"/>
        </w:rPr>
      </w:pPr>
    </w:p>
    <w:p w:rsidR="0075093C" w:rsidRPr="00CC5249" w:rsidRDefault="0075093C" w:rsidP="0075093C">
      <w:pPr>
        <w:rPr>
          <w:lang w:val="sq-AL"/>
        </w:rPr>
      </w:pPr>
    </w:p>
    <w:p w:rsidR="0075093C" w:rsidRPr="00EB6C01" w:rsidRDefault="00EB6C01" w:rsidP="00EB6C01">
      <w:pPr>
        <w:pStyle w:val="ReportTitle"/>
        <w:rPr>
          <w:color w:val="F79646"/>
        </w:rPr>
      </w:pPr>
      <w:r w:rsidRPr="0050005A">
        <w:rPr>
          <w:color w:val="F79646"/>
        </w:rPr>
        <w:t>Konsultativ</w:t>
      </w:r>
      <w:r>
        <w:rPr>
          <w:color w:val="F79646"/>
        </w:rPr>
        <w:t>ni Izve</w:t>
      </w:r>
      <w:r>
        <w:rPr>
          <w:rFonts w:cs="Calibri"/>
          <w:color w:val="F79646"/>
        </w:rPr>
        <w:t>š</w:t>
      </w:r>
      <w:r>
        <w:rPr>
          <w:color w:val="F79646"/>
        </w:rPr>
        <w:t>taj</w:t>
      </w:r>
      <w:r w:rsidRPr="0050005A">
        <w:rPr>
          <w:color w:val="F79646"/>
        </w:rPr>
        <w:t xml:space="preserve"> </w:t>
      </w:r>
    </w:p>
    <w:p w:rsidR="0075093C" w:rsidRPr="00CC5249" w:rsidRDefault="00EB6C01" w:rsidP="0075093C">
      <w:pPr>
        <w:pStyle w:val="Title"/>
        <w:shd w:val="clear" w:color="auto" w:fill="005D97"/>
        <w:jc w:val="center"/>
        <w:rPr>
          <w:color w:val="DF8D1D"/>
          <w:szCs w:val="32"/>
        </w:rPr>
      </w:pPr>
      <w:r>
        <w:rPr>
          <w:color w:val="DF8D1D"/>
          <w:szCs w:val="32"/>
        </w:rPr>
        <w:t>Ulazne Vrednosti i O</w:t>
      </w:r>
      <w:r w:rsidRPr="00EB6C01">
        <w:rPr>
          <w:color w:val="DF8D1D"/>
          <w:szCs w:val="32"/>
        </w:rPr>
        <w:t xml:space="preserve">perativni </w:t>
      </w:r>
      <w:r>
        <w:rPr>
          <w:color w:val="DF8D1D"/>
          <w:szCs w:val="32"/>
        </w:rPr>
        <w:t>T</w:t>
      </w:r>
      <w:r w:rsidRPr="00EB6C01">
        <w:rPr>
          <w:color w:val="DF8D1D"/>
          <w:szCs w:val="32"/>
        </w:rPr>
        <w:t xml:space="preserve">roškovi </w:t>
      </w:r>
      <w:r>
        <w:rPr>
          <w:color w:val="DF8D1D"/>
          <w:szCs w:val="32"/>
        </w:rPr>
        <w:t>Snabdevača Univerzalnih Usluga</w:t>
      </w:r>
    </w:p>
    <w:p w:rsidR="0075093C" w:rsidRPr="00CC5249" w:rsidRDefault="00E013A5" w:rsidP="0075093C">
      <w:pPr>
        <w:pStyle w:val="Title"/>
        <w:shd w:val="clear" w:color="auto" w:fill="005D97"/>
        <w:jc w:val="center"/>
        <w:rPr>
          <w:color w:val="DF8D1D"/>
          <w:sz w:val="36"/>
          <w:szCs w:val="26"/>
        </w:rPr>
      </w:pPr>
      <w:r>
        <w:rPr>
          <w:color w:val="DF8D1D"/>
          <w:sz w:val="36"/>
          <w:szCs w:val="26"/>
        </w:rPr>
        <w:t>Razmatranje Ulaznih Vrednosti</w:t>
      </w:r>
      <w:r w:rsidR="0075093C" w:rsidRPr="00CC5249">
        <w:rPr>
          <w:color w:val="DF8D1D"/>
          <w:sz w:val="36"/>
          <w:szCs w:val="26"/>
        </w:rPr>
        <w:t xml:space="preserve"> (2022-2024)</w:t>
      </w:r>
    </w:p>
    <w:p w:rsidR="0075093C" w:rsidRPr="00CC5249" w:rsidRDefault="0075093C" w:rsidP="0075093C">
      <w:pPr>
        <w:rPr>
          <w:lang w:val="sq-AL"/>
        </w:rPr>
      </w:pPr>
    </w:p>
    <w:p w:rsidR="0075093C" w:rsidRPr="00CC5249" w:rsidRDefault="0075093C" w:rsidP="0075093C">
      <w:pPr>
        <w:rPr>
          <w:lang w:val="sq-AL"/>
        </w:rPr>
      </w:pPr>
    </w:p>
    <w:p w:rsidR="0075093C" w:rsidRPr="00CC5249" w:rsidRDefault="0075093C" w:rsidP="0075093C">
      <w:pPr>
        <w:rPr>
          <w:lang w:val="sq-AL"/>
        </w:rPr>
      </w:pPr>
    </w:p>
    <w:p w:rsidR="0075093C" w:rsidRPr="00CC5249" w:rsidRDefault="0075093C" w:rsidP="0075093C">
      <w:pPr>
        <w:rPr>
          <w:lang w:val="sq-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75093C" w:rsidRPr="00450894" w:rsidTr="0075093C">
        <w:tc>
          <w:tcPr>
            <w:tcW w:w="9198" w:type="dxa"/>
            <w:shd w:val="clear" w:color="auto" w:fill="E0E0E0"/>
          </w:tcPr>
          <w:p w:rsidR="003522FE" w:rsidRPr="003A4BA9" w:rsidRDefault="003522FE" w:rsidP="003522FE">
            <w:pPr>
              <w:spacing w:before="120"/>
              <w:jc w:val="center"/>
              <w:rPr>
                <w:b/>
                <w:color w:val="005D97"/>
              </w:rPr>
            </w:pPr>
            <w:r>
              <w:rPr>
                <w:b/>
                <w:color w:val="005D97"/>
              </w:rPr>
              <w:t>IZJAVA</w:t>
            </w:r>
          </w:p>
          <w:p w:rsidR="0075093C" w:rsidRPr="003522FE" w:rsidRDefault="003522FE" w:rsidP="003522FE">
            <w:pPr>
              <w:keepNext/>
              <w:jc w:val="center"/>
              <w:rPr>
                <w:b/>
                <w:color w:val="005D97"/>
                <w:lang w:val="sq-AL"/>
              </w:rPr>
            </w:pPr>
            <w:r w:rsidRPr="002D3E7F">
              <w:rPr>
                <w:b/>
                <w:color w:val="2E74B5" w:themeColor="accent1" w:themeShade="BF"/>
              </w:rPr>
              <w:t xml:space="preserve">Ovaj Konsultativni Izveštaj je pripremljen od strane RUE-a radi informisanja interesnih strana. </w:t>
            </w:r>
            <w:r w:rsidRPr="002D3E7F">
              <w:rPr>
                <w:b/>
                <w:color w:val="2E74B5" w:themeColor="accent1" w:themeShade="BF"/>
                <w:u w:val="single"/>
              </w:rPr>
              <w:t>Izveštaj ne predstavlja bilo koju odluku RUE-a i ne treba se smatrati takvim</w:t>
            </w:r>
          </w:p>
        </w:tc>
      </w:tr>
    </w:tbl>
    <w:p w:rsidR="0075093C" w:rsidRPr="00CC5249" w:rsidRDefault="0075093C" w:rsidP="0075093C">
      <w:pPr>
        <w:rPr>
          <w:lang w:val="sq-AL"/>
        </w:rPr>
      </w:pPr>
    </w:p>
    <w:p w:rsidR="0075093C" w:rsidRPr="00B26335" w:rsidRDefault="0075093C" w:rsidP="0075093C">
      <w:pPr>
        <w:rPr>
          <w:lang w:val="sq-AL"/>
        </w:rPr>
      </w:pPr>
    </w:p>
    <w:p w:rsidR="0075093C" w:rsidRPr="00450894" w:rsidRDefault="0075093C" w:rsidP="0075093C">
      <w:pPr>
        <w:rPr>
          <w:lang w:val="sq-AL"/>
        </w:rPr>
      </w:pPr>
    </w:p>
    <w:p w:rsidR="0075093C" w:rsidRPr="00450894" w:rsidRDefault="0075093C" w:rsidP="0075093C">
      <w:pPr>
        <w:rPr>
          <w:lang w:val="sq-AL"/>
        </w:rPr>
      </w:pPr>
    </w:p>
    <w:p w:rsidR="0075093C" w:rsidRPr="00450894" w:rsidRDefault="0075093C" w:rsidP="0075093C">
      <w:pPr>
        <w:pStyle w:val="ReportDate"/>
        <w:rPr>
          <w:lang w:val="sq-AL"/>
        </w:rPr>
      </w:pPr>
    </w:p>
    <w:p w:rsidR="0075093C" w:rsidRPr="00450894" w:rsidRDefault="0075093C" w:rsidP="0075093C">
      <w:pPr>
        <w:pStyle w:val="ReportDate"/>
        <w:rPr>
          <w:sz w:val="28"/>
          <w:szCs w:val="28"/>
          <w:lang w:val="sq-AL"/>
        </w:rPr>
      </w:pPr>
    </w:p>
    <w:p w:rsidR="0075093C" w:rsidRPr="00450894" w:rsidRDefault="003522FE" w:rsidP="0075093C">
      <w:pPr>
        <w:pStyle w:val="ReportDate"/>
        <w:rPr>
          <w:b w:val="0"/>
          <w:bCs w:val="0"/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25 novembar</w:t>
      </w:r>
      <w:r w:rsidR="0075093C" w:rsidRPr="00450894">
        <w:rPr>
          <w:sz w:val="28"/>
          <w:szCs w:val="28"/>
          <w:lang w:val="sq-AL"/>
        </w:rPr>
        <w:t xml:space="preserve"> 2021</w:t>
      </w:r>
      <w:r w:rsidR="0075093C" w:rsidRPr="00450894">
        <w:rPr>
          <w:sz w:val="28"/>
          <w:szCs w:val="28"/>
          <w:lang w:val="sq-AL"/>
        </w:rPr>
        <w:br w:type="page"/>
      </w:r>
    </w:p>
    <w:p w:rsidR="0075093C" w:rsidRPr="00450894" w:rsidRDefault="00172B3D" w:rsidP="0075093C">
      <w:p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lastRenderedPageBreak/>
        <w:t>Sadr</w:t>
      </w:r>
      <w:r>
        <w:rPr>
          <w:rFonts w:cstheme="minorHAnsi"/>
          <w:b/>
          <w:bCs/>
          <w:sz w:val="28"/>
          <w:szCs w:val="28"/>
          <w:lang w:val="sq-AL"/>
        </w:rPr>
        <w:t>ž</w:t>
      </w:r>
      <w:r>
        <w:rPr>
          <w:b/>
          <w:bCs/>
          <w:sz w:val="28"/>
          <w:szCs w:val="28"/>
          <w:lang w:val="sq-AL"/>
        </w:rPr>
        <w:t xml:space="preserve">aj </w:t>
      </w:r>
    </w:p>
    <w:p w:rsidR="00D80ABE" w:rsidRDefault="0075093C">
      <w:pPr>
        <w:pStyle w:val="TOC1"/>
        <w:tabs>
          <w:tab w:val="left" w:pos="475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r w:rsidRPr="000D6682">
        <w:rPr>
          <w:b w:val="0"/>
          <w:szCs w:val="22"/>
          <w:lang w:val="sq-AL"/>
        </w:rPr>
        <w:fldChar w:fldCharType="begin"/>
      </w:r>
      <w:r w:rsidRPr="000D6682">
        <w:rPr>
          <w:b w:val="0"/>
          <w:szCs w:val="22"/>
          <w:lang w:val="sq-AL"/>
        </w:rPr>
        <w:instrText xml:space="preserve"> TOC \o "1-5" \h \z \u </w:instrText>
      </w:r>
      <w:r w:rsidRPr="000D6682">
        <w:rPr>
          <w:b w:val="0"/>
          <w:szCs w:val="22"/>
          <w:lang w:val="sq-AL"/>
        </w:rPr>
        <w:fldChar w:fldCharType="separate"/>
      </w:r>
      <w:hyperlink w:anchor="_Toc88226444" w:history="1">
        <w:r w:rsidR="00D80ABE" w:rsidRPr="00590635">
          <w:rPr>
            <w:rStyle w:val="Hyperlink"/>
            <w:noProof/>
            <w:lang w:val="sq-AL"/>
          </w:rPr>
          <w:t>1</w:t>
        </w:r>
        <w:r w:rsidR="00D80ABE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172B3D">
          <w:rPr>
            <w:rStyle w:val="Hyperlink"/>
            <w:noProof/>
            <w:lang w:val="sq-AL"/>
          </w:rPr>
          <w:t>Uvod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_Toc88226444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3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1"/>
        <w:tabs>
          <w:tab w:val="left" w:pos="475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88226445" w:history="1">
        <w:r w:rsidR="00D80ABE" w:rsidRPr="00590635">
          <w:rPr>
            <w:rStyle w:val="Hyperlink"/>
            <w:noProof/>
            <w:lang w:val="sq-AL"/>
          </w:rPr>
          <w:t>2</w:t>
        </w:r>
        <w:r w:rsidR="00D80ABE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172B3D" w:rsidRPr="00172B3D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>Ulazne vrednosti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_Toc88226445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4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88226446" w:history="1">
        <w:r w:rsidR="00D80ABE" w:rsidRPr="00590635">
          <w:rPr>
            <w:rStyle w:val="Hyperlink"/>
            <w:noProof/>
            <w:lang w:val="sq-AL"/>
          </w:rPr>
          <w:t>2.1</w:t>
        </w:r>
        <w:r w:rsidR="00D80ABE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172B3D" w:rsidRPr="00172B3D">
          <w:rPr>
            <w:rFonts w:asciiTheme="minorHAnsi" w:eastAsiaTheme="minorEastAsia" w:hAnsiTheme="minorHAnsi" w:cstheme="minorBidi"/>
            <w:noProof/>
            <w:szCs w:val="22"/>
            <w:lang w:val="en-US"/>
          </w:rPr>
          <w:t>Maloprodajne marže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_Toc88226446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5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8226447" w:history="1">
        <w:r w:rsidR="00D80ABE" w:rsidRPr="00590635">
          <w:rPr>
            <w:rStyle w:val="Hyperlink"/>
            <w:noProof/>
            <w:lang w:val="sq-AL"/>
          </w:rPr>
          <w:t>2.1.1</w:t>
        </w:r>
        <w:r w:rsidR="00D80ABE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72B3D">
          <w:rPr>
            <w:rStyle w:val="Hyperlink"/>
            <w:noProof/>
            <w:lang w:val="sq-AL"/>
          </w:rPr>
          <w:t xml:space="preserve">Aplikacija </w:t>
        </w:r>
        <w:r w:rsidR="00D80ABE" w:rsidRPr="00590635">
          <w:rPr>
            <w:rStyle w:val="Hyperlink"/>
            <w:noProof/>
            <w:lang w:val="sq-AL"/>
          </w:rPr>
          <w:t>KESCO</w:t>
        </w:r>
        <w:r w:rsidR="00172B3D">
          <w:rPr>
            <w:rStyle w:val="Hyperlink"/>
            <w:noProof/>
            <w:lang w:val="sq-AL"/>
          </w:rPr>
          <w:t>-a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_Toc88226447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5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8226448" w:history="1">
        <w:r w:rsidR="00D80ABE" w:rsidRPr="00590635">
          <w:rPr>
            <w:rStyle w:val="Hyperlink"/>
            <w:noProof/>
            <w:lang w:val="sq-AL"/>
          </w:rPr>
          <w:t>2.1.2</w:t>
        </w:r>
        <w:r w:rsidR="00D80ABE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72B3D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 xml:space="preserve">Razmatranje </w:t>
        </w:r>
        <w:r w:rsidR="00172B3D" w:rsidRPr="00172B3D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>i predlog RUE</w:t>
        </w:r>
        <w:r w:rsidR="00172B3D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>-a</w:t>
        </w:r>
        <w:r w:rsidR="00172B3D" w:rsidRPr="00172B3D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 xml:space="preserve"> za maloprodajnu maržu</w:t>
        </w:r>
        <w:r w:rsidR="00172B3D" w:rsidRPr="00172B3D">
          <w:rPr>
            <w:rStyle w:val="Hyperlink"/>
            <w:rFonts w:asciiTheme="minorHAnsi" w:eastAsiaTheme="minorEastAsia" w:hAnsiTheme="minorHAnsi" w:cstheme="minorBidi"/>
            <w:noProof/>
            <w:color w:val="auto"/>
            <w:sz w:val="22"/>
            <w:szCs w:val="22"/>
            <w:u w:val="none"/>
            <w:lang w:val="en-US"/>
          </w:rPr>
          <w:t xml:space="preserve"> </w:t>
        </w:r>
        <w:r w:rsidR="00172B3D">
          <w:rPr>
            <w:rStyle w:val="Hyperlink"/>
            <w:noProof/>
            <w:lang w:val="sq-AL"/>
          </w:rPr>
          <w:t>SUU-a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_Toc88226448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5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88226449" w:history="1">
        <w:r w:rsidR="00D80ABE" w:rsidRPr="00590635">
          <w:rPr>
            <w:rStyle w:val="Hyperlink"/>
            <w:noProof/>
            <w:lang w:val="sq-AL"/>
          </w:rPr>
          <w:t>2.2</w:t>
        </w:r>
        <w:r w:rsidR="00D80ABE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172B3D" w:rsidRPr="00172B3D">
          <w:rPr>
            <w:rFonts w:asciiTheme="minorHAnsi" w:eastAsiaTheme="minorEastAsia" w:hAnsiTheme="minorHAnsi" w:cstheme="minorBidi"/>
            <w:noProof/>
            <w:szCs w:val="22"/>
            <w:lang w:val="en-US"/>
          </w:rPr>
          <w:t>Loš dug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_Toc88226449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7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8226450" w:history="1">
        <w:r w:rsidR="00D80ABE" w:rsidRPr="00590635">
          <w:rPr>
            <w:rStyle w:val="Hyperlink"/>
            <w:noProof/>
            <w:lang w:val="sq-AL"/>
          </w:rPr>
          <w:t>2.2.1</w:t>
        </w:r>
        <w:r w:rsidR="00D80ABE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72B3D" w:rsidRPr="00172B3D">
          <w:rPr>
            <w:rStyle w:val="Hyperlink"/>
            <w:noProof/>
            <w:lang w:val="sq-AL"/>
          </w:rPr>
          <w:t xml:space="preserve">Aplikacija </w:t>
        </w:r>
        <w:r w:rsidR="00172B3D">
          <w:rPr>
            <w:rStyle w:val="Hyperlink"/>
            <w:noProof/>
            <w:lang w:val="sq-AL"/>
          </w:rPr>
          <w:t>KESCO-a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_Toc88226450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7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8226451" w:history="1">
        <w:r w:rsidR="00D80ABE" w:rsidRPr="00590635">
          <w:rPr>
            <w:rStyle w:val="Hyperlink"/>
            <w:noProof/>
            <w:lang w:val="sq-AL"/>
          </w:rPr>
          <w:t>2.2.2</w:t>
        </w:r>
        <w:r w:rsidR="00D80ABE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8F7E97" w:rsidRPr="008F7E97">
          <w:rPr>
            <w:rStyle w:val="Hyperlink"/>
            <w:noProof/>
            <w:lang w:val="sq-AL"/>
          </w:rPr>
          <w:t>Razmatranje i predlog RUE-a</w:t>
        </w:r>
        <w:r w:rsidR="00EB6C41">
          <w:rPr>
            <w:rStyle w:val="Hyperlink"/>
            <w:noProof/>
            <w:lang w:val="sq-AL"/>
          </w:rPr>
          <w:t xml:space="preserve"> u vezi  dozvoljavanja</w:t>
        </w:r>
        <w:r w:rsidR="00EB6C41" w:rsidRPr="00EB6C41">
          <w:rPr>
            <w:rStyle w:val="Hyperlink"/>
            <w:noProof/>
            <w:lang w:val="sq-AL"/>
          </w:rPr>
          <w:t xml:space="preserve"> lošeg duga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_Toc88226451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8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DE3D72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r>
        <w:t>Uticaj Smanjenja Vred</w:t>
      </w:r>
      <w:r w:rsidR="004A055E">
        <w:t>n</w:t>
      </w:r>
      <w:r>
        <w:t xml:space="preserve">osti </w:t>
      </w:r>
      <w:hyperlink w:anchor="_Toc88226452" w:history="1">
        <w:r w:rsidRPr="00DE3D72">
          <w:t>Potraživanja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_Toc88226452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8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88226453" w:history="1">
        <w:r w:rsidR="00DE3D72" w:rsidRPr="00DE3D72">
          <w:t>Uticaj deregulacije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_Toc88226453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9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88226454" w:history="1">
        <w:r w:rsidR="00DE3D72" w:rsidRPr="00DE3D72">
          <w:t>Analiza procene deregulacije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_Toc88226454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10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88226455" w:history="1">
        <w:r w:rsidR="00D80ABE" w:rsidRPr="00590635">
          <w:rPr>
            <w:rStyle w:val="Hyperlink"/>
            <w:noProof/>
            <w:lang w:val="sq-AL"/>
          </w:rPr>
          <w:t>2.3</w:t>
        </w:r>
        <w:r w:rsidR="00D80ABE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E27C99">
          <w:rPr>
            <w:rFonts w:asciiTheme="minorHAnsi" w:eastAsiaTheme="minorEastAsia" w:hAnsiTheme="minorHAnsi" w:cstheme="minorBidi"/>
            <w:noProof/>
            <w:szCs w:val="22"/>
            <w:lang w:val="en-US"/>
          </w:rPr>
          <w:t>Faktor podele</w:t>
        </w:r>
        <w:r w:rsidR="00DE3D72" w:rsidRPr="00DE3D72">
          <w:rPr>
            <w:rStyle w:val="Hyperlink"/>
            <w:rFonts w:asciiTheme="minorHAnsi" w:eastAsiaTheme="minorEastAsia" w:hAnsiTheme="minorHAnsi" w:cstheme="minorBidi"/>
            <w:noProof/>
            <w:color w:val="auto"/>
            <w:szCs w:val="22"/>
            <w:u w:val="none"/>
            <w:lang w:val="en-US"/>
          </w:rPr>
          <w:t xml:space="preserve"> neravnoteže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_Toc88226455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11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8226456" w:history="1">
        <w:r w:rsidR="00D80ABE" w:rsidRPr="00590635">
          <w:rPr>
            <w:rStyle w:val="Hyperlink"/>
            <w:noProof/>
            <w:lang w:val="sq-AL"/>
          </w:rPr>
          <w:t>2.3.1</w:t>
        </w:r>
        <w:r w:rsidR="00D80ABE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DE3D72" w:rsidRPr="00DE3D72">
          <w:rPr>
            <w:rStyle w:val="Hyperlink"/>
            <w:noProof/>
            <w:lang w:val="sq-AL"/>
          </w:rPr>
          <w:t>Aplikacija KESCO-a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_Toc88226456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11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8226457" w:history="1">
        <w:r w:rsidR="00D80ABE" w:rsidRPr="00590635">
          <w:rPr>
            <w:rStyle w:val="Hyperlink"/>
            <w:noProof/>
            <w:lang w:val="sq-AL"/>
          </w:rPr>
          <w:t>2.3.2</w:t>
        </w:r>
        <w:r w:rsidR="00D80ABE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D80ABE" w:rsidRPr="00590635">
          <w:rPr>
            <w:rStyle w:val="Hyperlink"/>
            <w:noProof/>
            <w:lang w:val="sq-AL"/>
          </w:rPr>
          <w:t>P</w:t>
        </w:r>
        <w:r w:rsidR="00DE3D72">
          <w:rPr>
            <w:rStyle w:val="Hyperlink"/>
            <w:noProof/>
            <w:lang w:val="sq-AL"/>
          </w:rPr>
          <w:t>redlog RUE-a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_Toc88226457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12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1"/>
        <w:tabs>
          <w:tab w:val="left" w:pos="475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88226458" w:history="1">
        <w:r w:rsidR="00D80ABE" w:rsidRPr="00590635">
          <w:rPr>
            <w:rStyle w:val="Hyperlink"/>
            <w:noProof/>
            <w:lang w:val="sq-AL"/>
          </w:rPr>
          <w:t>3</w:t>
        </w:r>
        <w:r w:rsidR="00D80ABE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7925FF">
          <w:rPr>
            <w:rFonts w:asciiTheme="minorHAnsi" w:eastAsiaTheme="minorEastAsia" w:hAnsiTheme="minorHAnsi" w:cstheme="minorBidi"/>
            <w:noProof/>
            <w:szCs w:val="22"/>
            <w:lang w:val="en-US"/>
          </w:rPr>
          <w:t xml:space="preserve">Operativni </w:t>
        </w:r>
        <w:r w:rsidR="00F93B7A" w:rsidRPr="00F93B7A">
          <w:rPr>
            <w:rFonts w:asciiTheme="minorHAnsi" w:eastAsiaTheme="minorEastAsia" w:hAnsiTheme="minorHAnsi" w:cstheme="minorBidi"/>
            <w:noProof/>
            <w:szCs w:val="22"/>
            <w:lang w:val="en-US"/>
          </w:rPr>
          <w:t xml:space="preserve">troškovi </w:t>
        </w:r>
        <w:r w:rsidR="007925FF">
          <w:rPr>
            <w:rFonts w:asciiTheme="minorHAnsi" w:eastAsiaTheme="minorEastAsia" w:hAnsiTheme="minorHAnsi" w:cstheme="minorBidi"/>
            <w:noProof/>
            <w:szCs w:val="22"/>
            <w:lang w:val="en-US"/>
          </w:rPr>
          <w:t xml:space="preserve">i </w:t>
        </w:r>
        <w:r w:rsidR="00F93B7A" w:rsidRPr="00F93B7A">
          <w:rPr>
            <w:rFonts w:asciiTheme="minorHAnsi" w:eastAsiaTheme="minorEastAsia" w:hAnsiTheme="minorHAnsi" w:cstheme="minorBidi"/>
            <w:noProof/>
            <w:szCs w:val="22"/>
            <w:lang w:val="en-US"/>
          </w:rPr>
          <w:t>održavanja</w:t>
        </w:r>
        <w:r w:rsidR="00F93B7A" w:rsidRPr="00F93B7A">
          <w:rPr>
            <w:rStyle w:val="Hyperlink"/>
            <w:rFonts w:asciiTheme="minorHAnsi" w:eastAsiaTheme="minorEastAsia" w:hAnsiTheme="minorHAnsi" w:cstheme="minorBidi"/>
            <w:noProof/>
            <w:color w:val="auto"/>
            <w:szCs w:val="22"/>
            <w:u w:val="none"/>
            <w:lang w:val="en-US"/>
          </w:rPr>
          <w:t xml:space="preserve"> 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_Toc88226458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13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88226459" w:history="1">
        <w:r w:rsidR="00D80ABE" w:rsidRPr="00590635">
          <w:rPr>
            <w:rStyle w:val="Hyperlink"/>
            <w:noProof/>
            <w:lang w:val="sq-AL"/>
          </w:rPr>
          <w:t>3.1</w:t>
        </w:r>
        <w:r w:rsidR="00D80ABE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F93B7A" w:rsidRPr="00F93B7A">
          <w:rPr>
            <w:rStyle w:val="Hyperlink"/>
            <w:noProof/>
            <w:lang w:val="sq-AL"/>
          </w:rPr>
          <w:t>Aplikacija KESCO-a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_Toc88226459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13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88226460" w:history="1">
        <w:r w:rsidR="00D80ABE" w:rsidRPr="00590635">
          <w:rPr>
            <w:rStyle w:val="Hyperlink"/>
            <w:noProof/>
            <w:lang w:val="sq-AL"/>
          </w:rPr>
          <w:t>3.2</w:t>
        </w:r>
        <w:r w:rsidR="00D80ABE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C81A79" w:rsidRPr="00C81A79">
          <w:rPr>
            <w:rFonts w:asciiTheme="minorHAnsi" w:eastAsiaTheme="minorEastAsia" w:hAnsiTheme="minorHAnsi" w:cstheme="minorBidi"/>
            <w:noProof/>
            <w:szCs w:val="22"/>
            <w:lang w:val="en-US"/>
          </w:rPr>
          <w:t>Razmatranj</w:t>
        </w:r>
        <w:r w:rsidR="00C81A79">
          <w:rPr>
            <w:rFonts w:asciiTheme="minorHAnsi" w:eastAsiaTheme="minorEastAsia" w:hAnsiTheme="minorHAnsi" w:cstheme="minorBidi"/>
            <w:noProof/>
            <w:szCs w:val="22"/>
            <w:lang w:val="en-US"/>
          </w:rPr>
          <w:t>e aplikacije i predloga RUE za Operativne T</w:t>
        </w:r>
        <w:r w:rsidR="00C81A79" w:rsidRPr="00C81A79">
          <w:rPr>
            <w:rFonts w:asciiTheme="minorHAnsi" w:eastAsiaTheme="minorEastAsia" w:hAnsiTheme="minorHAnsi" w:cstheme="minorBidi"/>
            <w:noProof/>
            <w:szCs w:val="22"/>
            <w:lang w:val="en-US"/>
          </w:rPr>
          <w:t>roškove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_Toc88226460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14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8226461" w:history="1">
        <w:r w:rsidR="00D80ABE" w:rsidRPr="00590635">
          <w:rPr>
            <w:rStyle w:val="Hyperlink"/>
            <w:noProof/>
            <w:lang w:val="sq-AL"/>
          </w:rPr>
          <w:t>3.2.1</w:t>
        </w:r>
        <w:r w:rsidR="00D80ABE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C81A79" w:rsidRPr="00C81A7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>Faktor efikasnosti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_Toc88226461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17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88226462" w:history="1">
        <w:r w:rsidR="00C81A79">
          <w:rPr>
            <w:rStyle w:val="Hyperlink"/>
            <w:noProof/>
            <w:lang w:val="sq-AL"/>
          </w:rPr>
          <w:t>Predlog</w:t>
        </w:r>
        <w:r w:rsidR="00D80ABE" w:rsidRPr="00590635">
          <w:rPr>
            <w:rStyle w:val="Hyperlink"/>
            <w:noProof/>
            <w:lang w:val="sq-AL"/>
          </w:rPr>
          <w:t xml:space="preserve"> KESCO</w:t>
        </w:r>
        <w:r w:rsidR="00C81A79">
          <w:rPr>
            <w:rStyle w:val="Hyperlink"/>
            <w:noProof/>
            <w:lang w:val="sq-AL"/>
          </w:rPr>
          <w:t>-a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_Toc88226462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17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88226463" w:history="1">
        <w:r w:rsidR="00C81A79">
          <w:rPr>
            <w:rStyle w:val="Hyperlink"/>
            <w:noProof/>
            <w:lang w:val="sq-AL"/>
          </w:rPr>
          <w:t>Predlog RUE-a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_Toc88226463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17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88226464" w:history="1">
        <w:r w:rsidR="00D80ABE" w:rsidRPr="00590635">
          <w:rPr>
            <w:rStyle w:val="Hyperlink"/>
            <w:noProof/>
            <w:lang w:val="sq-AL"/>
          </w:rPr>
          <w:t>3.3</w:t>
        </w:r>
        <w:r w:rsidR="00D80ABE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C81A79" w:rsidRPr="00C81A79">
          <w:rPr>
            <w:rFonts w:asciiTheme="minorHAnsi" w:eastAsiaTheme="minorEastAsia" w:hAnsiTheme="minorHAnsi" w:cstheme="minorBidi"/>
            <w:noProof/>
            <w:szCs w:val="22"/>
            <w:lang w:val="en-US"/>
          </w:rPr>
          <w:t>Kate</w:t>
        </w:r>
        <w:r w:rsidR="00E33A41">
          <w:rPr>
            <w:rFonts w:asciiTheme="minorHAnsi" w:eastAsiaTheme="minorEastAsia" w:hAnsiTheme="minorHAnsi" w:cstheme="minorBidi"/>
            <w:noProof/>
            <w:szCs w:val="22"/>
            <w:lang w:val="en-US"/>
          </w:rPr>
          <w:t>gorizacija i dugovečnost sredstava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_Toc88226464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21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8226465" w:history="1">
        <w:r w:rsidR="00D80ABE" w:rsidRPr="00590635">
          <w:rPr>
            <w:rStyle w:val="Hyperlink"/>
            <w:noProof/>
            <w:lang w:val="sq-AL"/>
          </w:rPr>
          <w:t>3.3.1</w:t>
        </w:r>
        <w:r w:rsidR="00D80ABE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C81A79">
          <w:rPr>
            <w:rStyle w:val="Hyperlink"/>
            <w:noProof/>
            <w:lang w:val="sq-AL"/>
          </w:rPr>
          <w:t xml:space="preserve">Aplikacija </w:t>
        </w:r>
        <w:r w:rsidR="00D80ABE" w:rsidRPr="00590635">
          <w:rPr>
            <w:rStyle w:val="Hyperlink"/>
            <w:noProof/>
            <w:lang w:val="sq-AL"/>
          </w:rPr>
          <w:t>KESCO</w:t>
        </w:r>
        <w:r w:rsidR="00C81A79">
          <w:rPr>
            <w:rStyle w:val="Hyperlink"/>
            <w:noProof/>
            <w:lang w:val="sq-AL"/>
          </w:rPr>
          <w:t>-a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_Toc88226465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21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8226466" w:history="1">
        <w:r w:rsidR="00D80ABE" w:rsidRPr="00590635">
          <w:rPr>
            <w:rStyle w:val="Hyperlink"/>
            <w:noProof/>
            <w:lang w:val="sq-AL"/>
          </w:rPr>
          <w:t>3.3.2</w:t>
        </w:r>
        <w:r w:rsidR="00D80ABE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C81A79" w:rsidRPr="00C81A79">
          <w:rPr>
            <w:rStyle w:val="Hyperlink"/>
            <w:noProof/>
            <w:lang w:val="sq-AL"/>
          </w:rPr>
          <w:t>Razmatranje i predlog RUE-a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_Toc88226466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22</w:t>
        </w:r>
        <w:r w:rsidR="00D80ABE">
          <w:rPr>
            <w:noProof/>
            <w:webHidden/>
          </w:rPr>
          <w:fldChar w:fldCharType="end"/>
        </w:r>
      </w:hyperlink>
    </w:p>
    <w:p w:rsidR="00D80ABE" w:rsidRDefault="009C134A">
      <w:pPr>
        <w:pStyle w:val="TOC1"/>
        <w:tabs>
          <w:tab w:val="left" w:pos="475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88226467" w:history="1">
        <w:r w:rsidR="00D80ABE" w:rsidRPr="00590635">
          <w:rPr>
            <w:rStyle w:val="Hyperlink"/>
            <w:noProof/>
            <w:lang w:val="sq-AL"/>
          </w:rPr>
          <w:t>4</w:t>
        </w:r>
        <w:r w:rsidR="00D80ABE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C81A79" w:rsidRPr="00C81A79">
          <w:t xml:space="preserve"> </w:t>
        </w:r>
        <w:r w:rsidR="00C81A79">
          <w:rPr>
            <w:rStyle w:val="Hyperlink"/>
            <w:noProof/>
            <w:lang w:val="sq-AL"/>
          </w:rPr>
          <w:t>Predlog Ulaznih Vrednosti i Operativnih T</w:t>
        </w:r>
        <w:r w:rsidR="00C81A79" w:rsidRPr="00C81A79">
          <w:rPr>
            <w:rStyle w:val="Hyperlink"/>
            <w:noProof/>
            <w:lang w:val="sq-AL"/>
          </w:rPr>
          <w:t>roškova</w:t>
        </w:r>
        <w:r w:rsidR="00D80ABE">
          <w:rPr>
            <w:noProof/>
            <w:webHidden/>
          </w:rPr>
          <w:tab/>
        </w:r>
        <w:r w:rsidR="00D80ABE">
          <w:rPr>
            <w:noProof/>
            <w:webHidden/>
          </w:rPr>
          <w:fldChar w:fldCharType="begin"/>
        </w:r>
        <w:r w:rsidR="00D80ABE">
          <w:rPr>
            <w:noProof/>
            <w:webHidden/>
          </w:rPr>
          <w:instrText xml:space="preserve"> PAGEREF _Toc88226467 \h </w:instrText>
        </w:r>
        <w:r w:rsidR="00D80ABE">
          <w:rPr>
            <w:noProof/>
            <w:webHidden/>
          </w:rPr>
        </w:r>
        <w:r w:rsidR="00D80ABE">
          <w:rPr>
            <w:noProof/>
            <w:webHidden/>
          </w:rPr>
          <w:fldChar w:fldCharType="separate"/>
        </w:r>
        <w:r w:rsidR="00820A8B">
          <w:rPr>
            <w:noProof/>
            <w:webHidden/>
          </w:rPr>
          <w:t>23</w:t>
        </w:r>
        <w:r w:rsidR="00D80ABE">
          <w:rPr>
            <w:noProof/>
            <w:webHidden/>
          </w:rPr>
          <w:fldChar w:fldCharType="end"/>
        </w:r>
      </w:hyperlink>
    </w:p>
    <w:p w:rsidR="0075093C" w:rsidRPr="00CC5249" w:rsidRDefault="0075093C" w:rsidP="0075093C">
      <w:pPr>
        <w:rPr>
          <w:lang w:val="sq-AL"/>
        </w:rPr>
      </w:pPr>
      <w:r w:rsidRPr="000D6682">
        <w:rPr>
          <w:rFonts w:ascii="Calibri" w:eastAsia="Times New Roman" w:hAnsi="Calibri" w:cs="Arial"/>
          <w:b/>
          <w:lang w:val="sq-AL"/>
        </w:rPr>
        <w:fldChar w:fldCharType="end"/>
      </w:r>
    </w:p>
    <w:p w:rsidR="0075093C" w:rsidRPr="00CC5249" w:rsidRDefault="0075093C" w:rsidP="0075093C">
      <w:pPr>
        <w:rPr>
          <w:lang w:val="sq-AL"/>
        </w:rPr>
      </w:pPr>
      <w:r w:rsidRPr="00CC5249">
        <w:rPr>
          <w:lang w:val="sq-AL"/>
        </w:rPr>
        <w:br w:type="page"/>
      </w:r>
    </w:p>
    <w:p w:rsidR="0075093C" w:rsidRPr="00CC5249" w:rsidRDefault="00895349" w:rsidP="0075093C">
      <w:pPr>
        <w:pStyle w:val="Heading1"/>
        <w:pageBreakBefore/>
        <w:rPr>
          <w:lang w:val="sq-AL"/>
        </w:rPr>
      </w:pPr>
      <w:r>
        <w:rPr>
          <w:lang w:val="sq-AL"/>
        </w:rPr>
        <w:lastRenderedPageBreak/>
        <w:t>Uvod</w:t>
      </w:r>
    </w:p>
    <w:p w:rsidR="0075093C" w:rsidRPr="00450894" w:rsidRDefault="00E27C99" w:rsidP="004B2C8B">
      <w:pPr>
        <w:jc w:val="both"/>
        <w:rPr>
          <w:rFonts w:cs="Calibri"/>
          <w:lang w:val="sq-AL"/>
        </w:rPr>
      </w:pPr>
      <w:r>
        <w:rPr>
          <w:rFonts w:cs="Calibri"/>
          <w:lang w:val="sq-AL"/>
        </w:rPr>
        <w:t xml:space="preserve">Regulatorni Ured za Energiju (RUE) </w:t>
      </w:r>
      <w:r w:rsidR="00895349" w:rsidRPr="00895349">
        <w:rPr>
          <w:rFonts w:cs="Calibri"/>
          <w:lang w:val="sq-AL"/>
        </w:rPr>
        <w:t xml:space="preserve">je </w:t>
      </w:r>
      <w:r>
        <w:rPr>
          <w:rFonts w:cs="Calibri"/>
          <w:lang w:val="sq-AL"/>
        </w:rPr>
        <w:t>trenutno u procesu utvrđivanja Ulaznih Vrednosti i Operativnih Troškova za Snabdeva</w:t>
      </w:r>
      <w:r>
        <w:rPr>
          <w:rFonts w:cstheme="minorHAnsi"/>
          <w:lang w:val="sq-AL"/>
        </w:rPr>
        <w:t>č</w:t>
      </w:r>
      <w:r>
        <w:rPr>
          <w:rFonts w:cs="Calibri"/>
          <w:lang w:val="sq-AL"/>
        </w:rPr>
        <w:t>a Univerzalnih Usluga -SU</w:t>
      </w:r>
      <w:r w:rsidR="00895349" w:rsidRPr="00895349">
        <w:rPr>
          <w:rFonts w:cs="Calibri"/>
          <w:lang w:val="sq-AL"/>
        </w:rPr>
        <w:t>U, za period od 1. aprila 2022. do 31. marta 2025. godine.</w:t>
      </w:r>
    </w:p>
    <w:p w:rsidR="0075093C" w:rsidRPr="00450894" w:rsidRDefault="00E27C99" w:rsidP="0075093C">
      <w:pPr>
        <w:jc w:val="both"/>
        <w:rPr>
          <w:lang w:val="sq-AL"/>
        </w:rPr>
      </w:pPr>
      <w:r>
        <w:rPr>
          <w:lang w:val="sq-AL"/>
        </w:rPr>
        <w:t>Tokom Razmatranja Ulaznih V</w:t>
      </w:r>
      <w:r w:rsidRPr="00E27C99">
        <w:rPr>
          <w:lang w:val="sq-AL"/>
        </w:rPr>
        <w:t>rednosti, RUE utvrđuje vrednosti nekih parametara koji</w:t>
      </w:r>
      <w:r>
        <w:rPr>
          <w:lang w:val="sq-AL"/>
        </w:rPr>
        <w:t xml:space="preserve"> direktno utiču na određivanje Dozvoljenih Prihoda SU</w:t>
      </w:r>
      <w:r w:rsidRPr="00E27C99">
        <w:rPr>
          <w:lang w:val="sq-AL"/>
        </w:rPr>
        <w:t>U. Ovo uključuje vr</w:t>
      </w:r>
      <w:r>
        <w:rPr>
          <w:lang w:val="sq-AL"/>
        </w:rPr>
        <w:t>ednosti kao što su Operativni Troškovi, Faktor Efikasnosti, D</w:t>
      </w:r>
      <w:r w:rsidR="00F52761">
        <w:rPr>
          <w:lang w:val="sq-AL"/>
        </w:rPr>
        <w:t>ugovečnost Sredstava</w:t>
      </w:r>
      <w:r>
        <w:rPr>
          <w:lang w:val="sq-AL"/>
        </w:rPr>
        <w:t>, L</w:t>
      </w:r>
      <w:r w:rsidRPr="00E27C99">
        <w:rPr>
          <w:lang w:val="sq-AL"/>
        </w:rPr>
        <w:t xml:space="preserve">oš </w:t>
      </w:r>
      <w:r>
        <w:rPr>
          <w:lang w:val="sq-AL"/>
        </w:rPr>
        <w:t>Dug, Maloprodajna Marža, Faktor Podele Izvoza i</w:t>
      </w:r>
      <w:r w:rsidRPr="00E27C99">
        <w:t xml:space="preserve"> </w:t>
      </w:r>
      <w:r>
        <w:rPr>
          <w:lang w:val="sq-AL"/>
        </w:rPr>
        <w:t>Faktor Podele</w:t>
      </w:r>
      <w:r w:rsidRPr="00E27C99">
        <w:rPr>
          <w:lang w:val="sq-AL"/>
        </w:rPr>
        <w:t xml:space="preserve"> </w:t>
      </w:r>
      <w:r>
        <w:rPr>
          <w:lang w:val="sq-AL"/>
        </w:rPr>
        <w:t>N</w:t>
      </w:r>
      <w:r w:rsidRPr="00E27C99">
        <w:rPr>
          <w:lang w:val="sq-AL"/>
        </w:rPr>
        <w:t xml:space="preserve">eravnoteže. Ovaj </w:t>
      </w:r>
      <w:r w:rsidR="002A6D55">
        <w:rPr>
          <w:lang w:val="sq-AL"/>
        </w:rPr>
        <w:t xml:space="preserve">Konsultativn Izveštaj </w:t>
      </w:r>
      <w:r w:rsidRPr="00E27C99">
        <w:rPr>
          <w:lang w:val="sq-AL"/>
        </w:rPr>
        <w:t xml:space="preserve"> predstavlja početne predloge RUE</w:t>
      </w:r>
      <w:r w:rsidR="002A6D55">
        <w:rPr>
          <w:lang w:val="sq-AL"/>
        </w:rPr>
        <w:t>-a za Ulazne Vrednosti i O</w:t>
      </w:r>
      <w:r w:rsidRPr="00E27C99">
        <w:rPr>
          <w:lang w:val="sq-AL"/>
        </w:rPr>
        <w:t xml:space="preserve">perativne </w:t>
      </w:r>
      <w:r w:rsidR="002A6D55">
        <w:rPr>
          <w:lang w:val="sq-AL"/>
        </w:rPr>
        <w:t>Tro</w:t>
      </w:r>
      <w:r w:rsidR="002A6D55">
        <w:rPr>
          <w:rFonts w:cstheme="minorHAnsi"/>
          <w:lang w:val="sq-AL"/>
        </w:rPr>
        <w:t>š</w:t>
      </w:r>
      <w:r w:rsidR="002A6D55">
        <w:rPr>
          <w:lang w:val="sq-AL"/>
        </w:rPr>
        <w:t xml:space="preserve">kove </w:t>
      </w:r>
      <w:r w:rsidRPr="00E27C99">
        <w:rPr>
          <w:lang w:val="sq-AL"/>
        </w:rPr>
        <w:t xml:space="preserve">za naredni period 2022-2024 i objavljen je u svrhu informisanja zainteresovanih strana, kao i pružanja mogućnosti da komentarišu i predstave stavove zainteresovanih strana o </w:t>
      </w:r>
      <w:r w:rsidR="002A6D55">
        <w:rPr>
          <w:lang w:val="sq-AL"/>
        </w:rPr>
        <w:t>predloženim vrednostima</w:t>
      </w:r>
      <w:r w:rsidRPr="00E27C99">
        <w:rPr>
          <w:lang w:val="sq-AL"/>
        </w:rPr>
        <w:t>.</w:t>
      </w:r>
      <w:r>
        <w:rPr>
          <w:lang w:val="sq-AL"/>
        </w:rPr>
        <w:t xml:space="preserve">  </w:t>
      </w:r>
    </w:p>
    <w:p w:rsidR="00701D2D" w:rsidRDefault="002A6D55" w:rsidP="00701D2D">
      <w:pPr>
        <w:jc w:val="both"/>
        <w:rPr>
          <w:rFonts w:cs="Calibri"/>
          <w:lang w:val="sq-AL"/>
        </w:rPr>
      </w:pPr>
      <w:r>
        <w:rPr>
          <w:rFonts w:cs="Calibri"/>
          <w:lang w:val="sq-AL"/>
        </w:rPr>
        <w:t>RUE</w:t>
      </w:r>
      <w:r w:rsidR="0075093C" w:rsidRPr="00450894">
        <w:rPr>
          <w:rFonts w:cs="Calibri"/>
          <w:lang w:val="sq-AL"/>
        </w:rPr>
        <w:t xml:space="preserve"> </w:t>
      </w:r>
      <w:r w:rsidRPr="002A6D55">
        <w:rPr>
          <w:rFonts w:cs="Calibri"/>
          <w:lang w:val="sq-AL"/>
        </w:rPr>
        <w:t>smatra da su javne konsultacije u srcu efikasne regulatorne politike. Stoga, RUE objavljuj</w:t>
      </w:r>
      <w:r>
        <w:rPr>
          <w:rFonts w:cs="Calibri"/>
          <w:lang w:val="sq-AL"/>
        </w:rPr>
        <w:t xml:space="preserve">e ovaj </w:t>
      </w:r>
      <w:r>
        <w:rPr>
          <w:lang w:val="sq-AL"/>
        </w:rPr>
        <w:t>Konsultativn Izveštaj</w:t>
      </w:r>
      <w:r w:rsidRPr="002A6D55">
        <w:rPr>
          <w:rFonts w:cs="Calibri"/>
          <w:lang w:val="sq-AL"/>
        </w:rPr>
        <w:t>, koji sadrži početne predloge z</w:t>
      </w:r>
      <w:r>
        <w:rPr>
          <w:rFonts w:cs="Calibri"/>
          <w:lang w:val="sq-AL"/>
        </w:rPr>
        <w:t>a ulazne vrednosti, na koje sve zainteresovane strane</w:t>
      </w:r>
      <w:r w:rsidRPr="002A6D55">
        <w:rPr>
          <w:rFonts w:cs="Calibri"/>
          <w:lang w:val="sq-AL"/>
        </w:rPr>
        <w:t xml:space="preserve"> imaju priliku da analiziraju i komentarišu, pružajući nove dokaze, iznoseći protivargumente ili dajući nove podatke kako bi konačna procena bila tačna.</w:t>
      </w:r>
    </w:p>
    <w:p w:rsidR="002A6D55" w:rsidRPr="0050005A" w:rsidRDefault="002A6D55" w:rsidP="002A6D55">
      <w:pPr>
        <w:jc w:val="both"/>
        <w:rPr>
          <w:rFonts w:cs="Calibri"/>
        </w:rPr>
      </w:pPr>
      <w:r w:rsidRPr="003C61E2">
        <w:t>Stran</w:t>
      </w:r>
      <w:r>
        <w:t>k</w:t>
      </w:r>
      <w:r w:rsidRPr="003C61E2">
        <w:t xml:space="preserve">e koje žele da podnesu </w:t>
      </w:r>
      <w:r>
        <w:t>njihova mi</w:t>
      </w:r>
      <w:r>
        <w:rPr>
          <w:rFonts w:cstheme="minorHAnsi"/>
        </w:rPr>
        <w:t>š</w:t>
      </w:r>
      <w:r>
        <w:t xml:space="preserve">ljenja o </w:t>
      </w:r>
      <w:r w:rsidRPr="003C61E2">
        <w:t xml:space="preserve"> predlozima RUE</w:t>
      </w:r>
      <w:r>
        <w:t>-a</w:t>
      </w:r>
      <w:r w:rsidRPr="003C61E2">
        <w:t xml:space="preserve"> se pozivaju da dostave svoje pisane komentare </w:t>
      </w:r>
      <w:r>
        <w:t xml:space="preserve">u elektronskom obliku putem e-maila na </w:t>
      </w:r>
      <w:hyperlink r:id="rId8" w:history="1">
        <w:r w:rsidRPr="0050005A">
          <w:rPr>
            <w:rStyle w:val="Hyperlink"/>
            <w:rFonts w:cs="Calibri"/>
          </w:rPr>
          <w:t>ero.pricing-tariffs@ero-ks.org</w:t>
        </w:r>
      </w:hyperlink>
      <w:r>
        <w:t xml:space="preserve">  najkasnije do 8. decembra</w:t>
      </w:r>
      <w:r w:rsidRPr="003C61E2">
        <w:t xml:space="preserve"> 2021</w:t>
      </w:r>
      <w:r>
        <w:t>. Tako</w:t>
      </w:r>
      <w:r>
        <w:rPr>
          <w:rFonts w:cstheme="minorHAnsi"/>
        </w:rPr>
        <w:t>đ</w:t>
      </w:r>
      <w:r>
        <w:t>e, komentari mogu se dostaviti u štampanom obliku na adresi</w:t>
      </w:r>
      <w:r w:rsidRPr="0050005A">
        <w:rPr>
          <w:rFonts w:cs="Calibri"/>
        </w:rPr>
        <w:t>:</w:t>
      </w:r>
    </w:p>
    <w:p w:rsidR="002A6D55" w:rsidRPr="00A864F7" w:rsidRDefault="002A6D55" w:rsidP="002A6D55">
      <w:pPr>
        <w:spacing w:after="0" w:line="240" w:lineRule="auto"/>
        <w:rPr>
          <w:i/>
        </w:rPr>
      </w:pPr>
      <w:r w:rsidRPr="00A864F7">
        <w:rPr>
          <w:i/>
        </w:rPr>
        <w:t xml:space="preserve">Regulatorni Ured za Energiju </w:t>
      </w:r>
    </w:p>
    <w:p w:rsidR="002A6D55" w:rsidRPr="00A864F7" w:rsidRDefault="002A6D55" w:rsidP="002A6D55">
      <w:pPr>
        <w:spacing w:after="0" w:line="240" w:lineRule="auto"/>
        <w:rPr>
          <w:i/>
        </w:rPr>
      </w:pPr>
      <w:r w:rsidRPr="00A864F7">
        <w:rPr>
          <w:i/>
        </w:rPr>
        <w:t xml:space="preserve">Odeljenje za Tarife i Cene </w:t>
      </w:r>
    </w:p>
    <w:p w:rsidR="002A6D55" w:rsidRDefault="002A6D55" w:rsidP="002A6D55">
      <w:pPr>
        <w:spacing w:after="0" w:line="240" w:lineRule="auto"/>
        <w:rPr>
          <w:i/>
        </w:rPr>
      </w:pPr>
      <w:r w:rsidRPr="005663BF">
        <w:rPr>
          <w:i/>
        </w:rPr>
        <w:t>Ul.</w:t>
      </w:r>
      <w:r>
        <w:t xml:space="preserve"> </w:t>
      </w:r>
      <w:r w:rsidRPr="00A864F7">
        <w:rPr>
          <w:i/>
        </w:rPr>
        <w:t>Dervish Rozhaja br. 12 Priština, 10000, Kosovo</w:t>
      </w:r>
    </w:p>
    <w:p w:rsidR="0075093C" w:rsidRPr="00450894" w:rsidRDefault="0075093C" w:rsidP="0075093C">
      <w:pPr>
        <w:spacing w:after="0" w:line="240" w:lineRule="auto"/>
        <w:rPr>
          <w:rFonts w:cs="Calibri"/>
          <w:lang w:val="sq-AL"/>
        </w:rPr>
      </w:pPr>
    </w:p>
    <w:p w:rsidR="0075093C" w:rsidRPr="00450894" w:rsidRDefault="002A6D55" w:rsidP="0075093C">
      <w:pPr>
        <w:spacing w:after="0" w:line="240" w:lineRule="auto"/>
        <w:rPr>
          <w:rFonts w:cs="Calibri"/>
          <w:lang w:val="sq-AL"/>
        </w:rPr>
      </w:pPr>
      <w:r>
        <w:rPr>
          <w:lang w:val="sq-AL"/>
        </w:rPr>
        <w:t>Nakon razmatranja</w:t>
      </w:r>
      <w:r w:rsidRPr="002A6D55">
        <w:rPr>
          <w:lang w:val="sq-AL"/>
        </w:rPr>
        <w:t xml:space="preserve"> primljenih komen</w:t>
      </w:r>
      <w:r>
        <w:rPr>
          <w:lang w:val="sq-AL"/>
        </w:rPr>
        <w:t xml:space="preserve">tara, RUE će objaviti završni </w:t>
      </w:r>
      <w:r w:rsidRPr="002A6D55">
        <w:rPr>
          <w:b/>
          <w:lang w:val="sq-AL"/>
        </w:rPr>
        <w:t>Izveštaj Zajedno sa odgovorima na komentare</w:t>
      </w:r>
      <w:r>
        <w:rPr>
          <w:lang w:val="sq-AL"/>
        </w:rPr>
        <w:t>. Komentari primljeni za ovaj Konsultativni I</w:t>
      </w:r>
      <w:r w:rsidRPr="002A6D55">
        <w:rPr>
          <w:lang w:val="sq-AL"/>
        </w:rPr>
        <w:t>zveštaj bić</w:t>
      </w:r>
      <w:r>
        <w:rPr>
          <w:lang w:val="sq-AL"/>
        </w:rPr>
        <w:t>e objavljeni zajedno sa Kona</w:t>
      </w:r>
      <w:r>
        <w:rPr>
          <w:rFonts w:cstheme="minorHAnsi"/>
          <w:lang w:val="sq-AL"/>
        </w:rPr>
        <w:t>č</w:t>
      </w:r>
      <w:r>
        <w:rPr>
          <w:lang w:val="sq-AL"/>
        </w:rPr>
        <w:t>nim</w:t>
      </w:r>
      <w:r w:rsidRPr="002A6D55">
        <w:rPr>
          <w:lang w:val="sq-AL"/>
        </w:rPr>
        <w:t xml:space="preserve"> izveštajem</w:t>
      </w:r>
      <w:r>
        <w:rPr>
          <w:lang w:val="sq-AL"/>
        </w:rPr>
        <w:t>.</w:t>
      </w:r>
    </w:p>
    <w:p w:rsidR="0075093C" w:rsidRPr="00450894" w:rsidRDefault="0075093C" w:rsidP="0075093C">
      <w:pPr>
        <w:spacing w:after="0" w:line="240" w:lineRule="auto"/>
        <w:rPr>
          <w:rFonts w:cs="Calibri"/>
          <w:lang w:val="sq-AL"/>
        </w:rPr>
      </w:pPr>
    </w:p>
    <w:p w:rsidR="0075093C" w:rsidRPr="002A6D55" w:rsidRDefault="002A6D55" w:rsidP="002A6D55">
      <w:pPr>
        <w:rPr>
          <w:rFonts w:cs="Calibri"/>
          <w:b/>
        </w:rPr>
      </w:pPr>
      <w:r w:rsidRPr="00B254DC">
        <w:rPr>
          <w:rFonts w:cs="Calibri"/>
        </w:rPr>
        <w:t xml:space="preserve">   </w:t>
      </w:r>
      <w:r>
        <w:rPr>
          <w:rFonts w:cs="Calibri"/>
          <w:b/>
        </w:rPr>
        <w:t>Relevantni Dokumenti</w:t>
      </w:r>
    </w:p>
    <w:p w:rsidR="0075093C" w:rsidRPr="00450894" w:rsidRDefault="0075093C" w:rsidP="0075093C">
      <w:pPr>
        <w:spacing w:after="0" w:line="240" w:lineRule="auto"/>
        <w:rPr>
          <w:rFonts w:cs="Calibri"/>
          <w:lang w:val="sq-AL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6720"/>
      </w:tblGrid>
      <w:tr w:rsidR="0075093C" w:rsidRPr="00450894" w:rsidTr="00756146">
        <w:trPr>
          <w:trHeight w:val="890"/>
        </w:trPr>
        <w:tc>
          <w:tcPr>
            <w:tcW w:w="1397" w:type="pct"/>
          </w:tcPr>
          <w:p w:rsidR="0075093C" w:rsidRPr="00CC5249" w:rsidRDefault="002A6D55" w:rsidP="0075093C">
            <w:pPr>
              <w:rPr>
                <w:lang w:val="sq-AL"/>
              </w:rPr>
            </w:pPr>
            <w:r>
              <w:rPr>
                <w:lang w:val="sq-AL"/>
              </w:rPr>
              <w:t>Zakon o Energetskom Regulatoru</w:t>
            </w:r>
          </w:p>
        </w:tc>
        <w:tc>
          <w:tcPr>
            <w:tcW w:w="3603" w:type="pct"/>
          </w:tcPr>
          <w:p w:rsidR="0075093C" w:rsidRPr="00756146" w:rsidRDefault="009C134A" w:rsidP="00756146">
            <w:pPr>
              <w:rPr>
                <w:sz w:val="20"/>
                <w:szCs w:val="20"/>
                <w:lang w:val="sq-AL"/>
              </w:rPr>
            </w:pPr>
            <w:hyperlink r:id="rId9" w:history="1">
              <w:r w:rsidR="00756146" w:rsidRPr="00756146">
                <w:rPr>
                  <w:rStyle w:val="Hyperlink"/>
                  <w:sz w:val="20"/>
                  <w:szCs w:val="20"/>
                  <w:lang w:val="sq-AL"/>
                </w:rPr>
                <w:t>http://ero-ks.org/2016/Ligjet/LIGJI_PER_RREGULLATORIN_E_ENERGJISEang.pdf</w:t>
              </w:r>
            </w:hyperlink>
          </w:p>
        </w:tc>
      </w:tr>
      <w:tr w:rsidR="0075093C" w:rsidRPr="00450894" w:rsidTr="00756146">
        <w:trPr>
          <w:trHeight w:val="890"/>
        </w:trPr>
        <w:tc>
          <w:tcPr>
            <w:tcW w:w="1397" w:type="pct"/>
          </w:tcPr>
          <w:p w:rsidR="0075093C" w:rsidRPr="00B26335" w:rsidRDefault="002A6D55" w:rsidP="00756146">
            <w:pPr>
              <w:rPr>
                <w:lang w:val="sq-AL"/>
              </w:rPr>
            </w:pPr>
            <w:r>
              <w:rPr>
                <w:lang w:val="sq-AL"/>
              </w:rPr>
              <w:t>Pravila Prihoda SU</w:t>
            </w:r>
            <w:r w:rsidRPr="002A6D55">
              <w:rPr>
                <w:lang w:val="sq-AL"/>
              </w:rPr>
              <w:t>U</w:t>
            </w:r>
          </w:p>
        </w:tc>
        <w:tc>
          <w:tcPr>
            <w:tcW w:w="3603" w:type="pct"/>
          </w:tcPr>
          <w:p w:rsidR="0075093C" w:rsidRPr="00756146" w:rsidRDefault="009C134A" w:rsidP="0075093C">
            <w:pPr>
              <w:rPr>
                <w:sz w:val="20"/>
                <w:szCs w:val="20"/>
                <w:lang w:val="sq-AL"/>
              </w:rPr>
            </w:pPr>
            <w:hyperlink r:id="rId10" w:history="1">
              <w:r w:rsidR="0075093C" w:rsidRPr="00756146">
                <w:rPr>
                  <w:rStyle w:val="Hyperlink"/>
                  <w:sz w:val="20"/>
                  <w:szCs w:val="20"/>
                  <w:lang w:val="sq-AL"/>
                </w:rPr>
                <w:t>http://ero-ks.org/2017/Rregullat/USS%20Pricing%20Rule.pdf</w:t>
              </w:r>
            </w:hyperlink>
            <w:r w:rsidR="0075093C" w:rsidRPr="00756146">
              <w:rPr>
                <w:sz w:val="20"/>
                <w:szCs w:val="20"/>
                <w:lang w:val="sq-AL"/>
              </w:rPr>
              <w:t xml:space="preserve"> </w:t>
            </w:r>
          </w:p>
        </w:tc>
      </w:tr>
      <w:tr w:rsidR="0075093C" w:rsidRPr="00450894" w:rsidTr="00756146">
        <w:trPr>
          <w:trHeight w:val="890"/>
        </w:trPr>
        <w:tc>
          <w:tcPr>
            <w:tcW w:w="1397" w:type="pct"/>
          </w:tcPr>
          <w:p w:rsidR="0075093C" w:rsidRPr="00B26335" w:rsidRDefault="002A6D55" w:rsidP="002A6D55">
            <w:pPr>
              <w:rPr>
                <w:lang w:val="sq-AL"/>
              </w:rPr>
            </w:pPr>
            <w:r w:rsidRPr="002A6D55">
              <w:rPr>
                <w:lang w:val="sq-AL"/>
              </w:rPr>
              <w:t xml:space="preserve">KESCO aplikacija za ulazne vrednosti </w:t>
            </w:r>
          </w:p>
        </w:tc>
        <w:tc>
          <w:tcPr>
            <w:tcW w:w="3603" w:type="pct"/>
          </w:tcPr>
          <w:p w:rsidR="0075093C" w:rsidRPr="00756146" w:rsidRDefault="009C134A" w:rsidP="00756146">
            <w:pPr>
              <w:rPr>
                <w:sz w:val="20"/>
                <w:szCs w:val="20"/>
                <w:highlight w:val="yellow"/>
                <w:lang w:val="sq-AL"/>
              </w:rPr>
            </w:pPr>
            <w:hyperlink r:id="rId11" w:history="1">
              <w:r w:rsidR="00D80ABE" w:rsidRPr="006227EA">
                <w:rPr>
                  <w:rStyle w:val="Hyperlink"/>
                  <w:sz w:val="20"/>
                  <w:szCs w:val="20"/>
                  <w:lang w:val="sq-AL"/>
                </w:rPr>
                <w:t>https://www.ero-ks.org/zrre/sites/default/files/Publikimet/Pjesemarresit%20ne%20Treg/Furnizim/Propozimi%20per%20Vlerat%20Hyrese%202022-2024%20per%20FSHU_KESCO.PDF</w:t>
              </w:r>
            </w:hyperlink>
            <w:r w:rsidR="00AA737B">
              <w:rPr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75093C" w:rsidRPr="00CC5249" w:rsidRDefault="0075093C" w:rsidP="0075093C">
      <w:pPr>
        <w:spacing w:after="0" w:line="240" w:lineRule="auto"/>
        <w:rPr>
          <w:rFonts w:cs="Calibri"/>
          <w:b/>
          <w:sz w:val="28"/>
          <w:szCs w:val="28"/>
          <w:lang w:val="sq-AL"/>
        </w:rPr>
      </w:pPr>
    </w:p>
    <w:p w:rsidR="0075093C" w:rsidRPr="00B26335" w:rsidRDefault="002A6D55" w:rsidP="0075093C">
      <w:pPr>
        <w:pStyle w:val="Heading1"/>
        <w:rPr>
          <w:lang w:val="sq-AL"/>
        </w:rPr>
      </w:pPr>
      <w:r>
        <w:rPr>
          <w:lang w:val="sq-AL"/>
        </w:rPr>
        <w:lastRenderedPageBreak/>
        <w:t>Ulazne Vrednosti</w:t>
      </w:r>
    </w:p>
    <w:p w:rsidR="0075093C" w:rsidRPr="00450894" w:rsidRDefault="003139E1" w:rsidP="0075093C">
      <w:pPr>
        <w:jc w:val="both"/>
        <w:rPr>
          <w:lang w:val="sq-AL"/>
        </w:rPr>
      </w:pPr>
      <w:r>
        <w:rPr>
          <w:lang w:val="sq-AL"/>
        </w:rPr>
        <w:t>Pravilo Snabdevača Univerzalnih Usluga (SUU) utvr</w:t>
      </w:r>
      <w:r>
        <w:rPr>
          <w:rFonts w:cstheme="minorHAnsi"/>
          <w:lang w:val="sq-AL"/>
        </w:rPr>
        <w:t>đ</w:t>
      </w:r>
      <w:r>
        <w:rPr>
          <w:lang w:val="sq-AL"/>
        </w:rPr>
        <w:t>uje</w:t>
      </w:r>
      <w:r w:rsidRPr="003139E1">
        <w:rPr>
          <w:lang w:val="sq-AL"/>
        </w:rPr>
        <w:t xml:space="preserve"> kako se izračunavaju i ažur</w:t>
      </w:r>
      <w:r>
        <w:rPr>
          <w:lang w:val="sq-AL"/>
        </w:rPr>
        <w:t>iraju Maksimalni Dozvoljeni P</w:t>
      </w:r>
      <w:r w:rsidRPr="003139E1">
        <w:rPr>
          <w:lang w:val="sq-AL"/>
        </w:rPr>
        <w:t>rihod</w:t>
      </w:r>
      <w:r>
        <w:rPr>
          <w:lang w:val="sq-AL"/>
        </w:rPr>
        <w:t>i Snabdevača Univerzalnih Usluga</w:t>
      </w:r>
      <w:r w:rsidRPr="003139E1">
        <w:rPr>
          <w:lang w:val="sq-AL"/>
        </w:rPr>
        <w:t xml:space="preserve"> koji pokrivaju troškove pružan</w:t>
      </w:r>
      <w:r w:rsidR="00BC40AA">
        <w:rPr>
          <w:lang w:val="sq-AL"/>
        </w:rPr>
        <w:t>ja regulisane usluge korisnicima</w:t>
      </w:r>
      <w:r w:rsidRPr="003139E1">
        <w:rPr>
          <w:lang w:val="sq-AL"/>
        </w:rPr>
        <w:t xml:space="preserve"> univerzalnog snabdevanja. O</w:t>
      </w:r>
      <w:r>
        <w:rPr>
          <w:lang w:val="sq-AL"/>
        </w:rPr>
        <w:t>vo pravilo definiše Prilago</w:t>
      </w:r>
      <w:r>
        <w:rPr>
          <w:rFonts w:cstheme="minorHAnsi"/>
          <w:lang w:val="sq-AL"/>
        </w:rPr>
        <w:t>đene</w:t>
      </w:r>
      <w:r>
        <w:rPr>
          <w:lang w:val="sq-AL"/>
        </w:rPr>
        <w:t xml:space="preserve"> P</w:t>
      </w:r>
      <w:r w:rsidRPr="003139E1">
        <w:rPr>
          <w:lang w:val="sq-AL"/>
        </w:rPr>
        <w:t xml:space="preserve">rihode na </w:t>
      </w:r>
      <w:r>
        <w:rPr>
          <w:lang w:val="sq-AL"/>
        </w:rPr>
        <w:t>način koji omogućava snabdeva</w:t>
      </w:r>
      <w:r>
        <w:rPr>
          <w:rFonts w:cstheme="minorHAnsi"/>
          <w:lang w:val="sq-AL"/>
        </w:rPr>
        <w:t>č</w:t>
      </w:r>
      <w:r>
        <w:rPr>
          <w:lang w:val="sq-AL"/>
        </w:rPr>
        <w:t>ima</w:t>
      </w:r>
      <w:r w:rsidRPr="003139E1">
        <w:rPr>
          <w:lang w:val="sq-AL"/>
        </w:rPr>
        <w:t xml:space="preserve"> univerzalnih usluga da pokriju maloprodajne troškove, troškove kupovine energije pot</w:t>
      </w:r>
      <w:r w:rsidR="00BC40AA">
        <w:rPr>
          <w:lang w:val="sq-AL"/>
        </w:rPr>
        <w:t>rebne za snabdevanje potro</w:t>
      </w:r>
      <w:r w:rsidR="00BC40AA">
        <w:rPr>
          <w:rFonts w:cstheme="minorHAnsi"/>
          <w:lang w:val="sq-AL"/>
        </w:rPr>
        <w:t>š</w:t>
      </w:r>
      <w:r w:rsidR="00BC40AA">
        <w:rPr>
          <w:lang w:val="sq-AL"/>
        </w:rPr>
        <w:t>a</w:t>
      </w:r>
      <w:r w:rsidR="00BC40AA">
        <w:rPr>
          <w:rFonts w:cstheme="minorHAnsi"/>
          <w:lang w:val="sq-AL"/>
        </w:rPr>
        <w:t>ć</w:t>
      </w:r>
      <w:r w:rsidR="00BC40AA">
        <w:rPr>
          <w:lang w:val="sq-AL"/>
        </w:rPr>
        <w:t>a</w:t>
      </w:r>
      <w:r>
        <w:rPr>
          <w:lang w:val="sq-AL"/>
        </w:rPr>
        <w:t xml:space="preserve"> SUU-a</w:t>
      </w:r>
      <w:r w:rsidRPr="003139E1">
        <w:rPr>
          <w:lang w:val="sq-AL"/>
        </w:rPr>
        <w:t xml:space="preserve"> i prenos</w:t>
      </w:r>
      <w:r>
        <w:rPr>
          <w:lang w:val="sq-AL"/>
        </w:rPr>
        <w:t>ive troškove (OST i ODS troškovi</w:t>
      </w:r>
      <w:r w:rsidRPr="003139E1">
        <w:rPr>
          <w:lang w:val="sq-AL"/>
        </w:rPr>
        <w:t>). Potom se vrše prilago</w:t>
      </w:r>
      <w:r>
        <w:rPr>
          <w:lang w:val="sq-AL"/>
        </w:rPr>
        <w:t>đavanja u skladu sa Pravilom o Prihodima SUU-a kako bi se osiguralo da SUU</w:t>
      </w:r>
      <w:r w:rsidRPr="003139E1">
        <w:rPr>
          <w:lang w:val="sq-AL"/>
        </w:rPr>
        <w:t xml:space="preserve"> ima dovoljnu finansijs</w:t>
      </w:r>
      <w:r w:rsidR="00BC40AA">
        <w:rPr>
          <w:lang w:val="sq-AL"/>
        </w:rPr>
        <w:t>ku likvidnost i da se prilago</w:t>
      </w:r>
      <w:r w:rsidR="00BC40AA">
        <w:rPr>
          <w:rFonts w:cstheme="minorHAnsi"/>
          <w:lang w:val="sq-AL"/>
        </w:rPr>
        <w:t>đ</w:t>
      </w:r>
      <w:r w:rsidR="00BC40AA">
        <w:rPr>
          <w:lang w:val="sq-AL"/>
        </w:rPr>
        <w:t>eni</w:t>
      </w:r>
      <w:r w:rsidRPr="003139E1">
        <w:rPr>
          <w:lang w:val="sq-AL"/>
        </w:rPr>
        <w:t xml:space="preserve"> prihodi ostvare</w:t>
      </w:r>
      <w:r w:rsidR="00BC40AA">
        <w:rPr>
          <w:lang w:val="sq-AL"/>
        </w:rPr>
        <w:t>ni primenom tarifa pravilno izra</w:t>
      </w:r>
      <w:r w:rsidRPr="003139E1">
        <w:rPr>
          <w:lang w:val="sq-AL"/>
        </w:rPr>
        <w:t>čunavaju.</w:t>
      </w:r>
      <w:r>
        <w:rPr>
          <w:lang w:val="sq-AL"/>
        </w:rPr>
        <w:t xml:space="preserve"> </w:t>
      </w:r>
    </w:p>
    <w:p w:rsidR="0075093C" w:rsidRPr="00450894" w:rsidRDefault="003139E1" w:rsidP="0075093C">
      <w:pPr>
        <w:jc w:val="both"/>
        <w:rPr>
          <w:lang w:val="sq-AL"/>
        </w:rPr>
      </w:pPr>
      <w:r>
        <w:rPr>
          <w:lang w:val="sq-AL"/>
        </w:rPr>
        <w:t>Prilagođeni Prihodi SUU-a</w:t>
      </w:r>
      <w:r w:rsidRPr="003139E1">
        <w:rPr>
          <w:lang w:val="sq-AL"/>
        </w:rPr>
        <w:t xml:space="preserve"> zavise od ulaznih vrednosti koje su </w:t>
      </w:r>
      <w:r>
        <w:rPr>
          <w:lang w:val="sq-AL"/>
        </w:rPr>
        <w:t>određene tokom njihovih razmatranja</w:t>
      </w:r>
      <w:r w:rsidRPr="003139E1">
        <w:rPr>
          <w:lang w:val="sq-AL"/>
        </w:rPr>
        <w:t>. Da bi se unapredila predvidljivost prihoda, ulazne vrednosti su postavljene za regulatorni period od 3 godine. Promene u ulaznim vrednostima mogu se izvršiti samo</w:t>
      </w:r>
      <w:r w:rsidR="002C5386">
        <w:rPr>
          <w:lang w:val="sq-AL"/>
        </w:rPr>
        <w:t xml:space="preserve"> u meri u kojoj su ove promene “</w:t>
      </w:r>
      <w:r w:rsidRPr="002C5386">
        <w:rPr>
          <w:i/>
          <w:lang w:val="sq-AL"/>
        </w:rPr>
        <w:t>razumne, opravdane i pažljivo verifikovane</w:t>
      </w:r>
      <w:r w:rsidR="002C5386">
        <w:rPr>
          <w:lang w:val="sq-AL"/>
        </w:rPr>
        <w:t>“ (član 9.1 Pravila za Određivanje P</w:t>
      </w:r>
      <w:r w:rsidRPr="003139E1">
        <w:rPr>
          <w:lang w:val="sq-AL"/>
        </w:rPr>
        <w:t>rih</w:t>
      </w:r>
      <w:r w:rsidR="002C5386">
        <w:rPr>
          <w:lang w:val="sq-AL"/>
        </w:rPr>
        <w:t>oda Snabdevača Univerzalnih Usluga</w:t>
      </w:r>
      <w:r w:rsidRPr="003139E1">
        <w:rPr>
          <w:lang w:val="sq-AL"/>
        </w:rPr>
        <w:t>).</w:t>
      </w:r>
    </w:p>
    <w:p w:rsidR="0075093C" w:rsidRPr="00450894" w:rsidRDefault="002C5386" w:rsidP="0075093C">
      <w:pPr>
        <w:jc w:val="both"/>
        <w:rPr>
          <w:lang w:val="sq-AL"/>
        </w:rPr>
      </w:pPr>
      <w:r>
        <w:rPr>
          <w:lang w:val="sq-AL"/>
        </w:rPr>
        <w:t>Pravilo Određivanja P</w:t>
      </w:r>
      <w:r w:rsidRPr="002C5386">
        <w:rPr>
          <w:lang w:val="sq-AL"/>
        </w:rPr>
        <w:t>rihoda</w:t>
      </w:r>
      <w:r>
        <w:rPr>
          <w:lang w:val="sq-AL"/>
        </w:rPr>
        <w:t xml:space="preserve"> za Snabdevače Univerzalnih Usluga (Pravila o Prihodima SUU</w:t>
      </w:r>
      <w:r w:rsidRPr="002C5386">
        <w:rPr>
          <w:lang w:val="sq-AL"/>
        </w:rPr>
        <w:t>) definiše da se ulazne vrednost</w:t>
      </w:r>
      <w:r w:rsidR="00D56790">
        <w:rPr>
          <w:lang w:val="sq-AL"/>
        </w:rPr>
        <w:t>i određuju tokom procesa Razmo</w:t>
      </w:r>
      <w:r>
        <w:rPr>
          <w:lang w:val="sq-AL"/>
        </w:rPr>
        <w:t>trenja Ulaznih V</w:t>
      </w:r>
      <w:r w:rsidRPr="002C5386">
        <w:rPr>
          <w:lang w:val="sq-AL"/>
        </w:rPr>
        <w:t>rednosti, koji su prema članu 12. stav 3.</w:t>
      </w:r>
      <w:r w:rsidR="00D56790">
        <w:rPr>
          <w:lang w:val="sq-AL"/>
        </w:rPr>
        <w:t xml:space="preserve"> k</w:t>
      </w:r>
      <w:r>
        <w:rPr>
          <w:lang w:val="sq-AL"/>
        </w:rPr>
        <w:t>ao slede</w:t>
      </w:r>
      <w:r>
        <w:rPr>
          <w:rFonts w:cstheme="minorHAnsi"/>
          <w:lang w:val="sq-AL"/>
        </w:rPr>
        <w:t>ć</w:t>
      </w:r>
      <w:r>
        <w:rPr>
          <w:lang w:val="sq-AL"/>
        </w:rPr>
        <w:t>e</w:t>
      </w:r>
      <w:r w:rsidR="0075093C" w:rsidRPr="00450894">
        <w:rPr>
          <w:lang w:val="sq-AL"/>
        </w:rPr>
        <w:t>:</w:t>
      </w:r>
    </w:p>
    <w:p w:rsidR="0075093C" w:rsidRPr="00450894" w:rsidRDefault="002C5386" w:rsidP="002C5386">
      <w:pPr>
        <w:pStyle w:val="ListParagraph"/>
        <w:numPr>
          <w:ilvl w:val="0"/>
          <w:numId w:val="19"/>
        </w:numPr>
        <w:rPr>
          <w:rFonts w:cs="Calibri"/>
          <w:lang w:val="sq-AL" w:eastAsia="en-GB"/>
        </w:rPr>
      </w:pPr>
      <w:r w:rsidRPr="002C5386">
        <w:rPr>
          <w:rFonts w:cs="Calibri"/>
          <w:lang w:val="sq-AL" w:eastAsia="en-GB"/>
        </w:rPr>
        <w:t>Maloprodajna marža</w:t>
      </w:r>
    </w:p>
    <w:p w:rsidR="0075093C" w:rsidRPr="00450894" w:rsidRDefault="002C5386" w:rsidP="002C5386">
      <w:pPr>
        <w:pStyle w:val="ListParagraph"/>
        <w:numPr>
          <w:ilvl w:val="0"/>
          <w:numId w:val="19"/>
        </w:numPr>
        <w:rPr>
          <w:rFonts w:cs="Calibri"/>
          <w:lang w:val="sq-AL" w:eastAsia="en-GB"/>
        </w:rPr>
      </w:pPr>
      <w:r w:rsidRPr="002C5386">
        <w:rPr>
          <w:rFonts w:cs="Calibri"/>
          <w:lang w:val="sq-AL" w:eastAsia="en-GB"/>
        </w:rPr>
        <w:t>Dozvoljavanje lošeg duga</w:t>
      </w:r>
    </w:p>
    <w:p w:rsidR="002C5386" w:rsidRDefault="002C5386" w:rsidP="002C5386">
      <w:pPr>
        <w:pStyle w:val="ListParagraph"/>
        <w:numPr>
          <w:ilvl w:val="0"/>
          <w:numId w:val="19"/>
        </w:numPr>
        <w:rPr>
          <w:rFonts w:cs="Calibri"/>
          <w:lang w:val="sq-AL" w:eastAsia="en-GB"/>
        </w:rPr>
      </w:pPr>
      <w:r w:rsidRPr="002C5386">
        <w:rPr>
          <w:rFonts w:cs="Calibri"/>
          <w:lang w:val="sq-AL" w:eastAsia="en-GB"/>
        </w:rPr>
        <w:t>Operativni troškovi</w:t>
      </w:r>
    </w:p>
    <w:p w:rsidR="0075093C" w:rsidRPr="00450894" w:rsidRDefault="002C5386" w:rsidP="002C5386">
      <w:pPr>
        <w:pStyle w:val="ListParagraph"/>
        <w:numPr>
          <w:ilvl w:val="0"/>
          <w:numId w:val="19"/>
        </w:numPr>
        <w:rPr>
          <w:rFonts w:cs="Calibri"/>
          <w:lang w:val="sq-AL" w:eastAsia="en-GB"/>
        </w:rPr>
      </w:pPr>
      <w:r w:rsidRPr="002C5386">
        <w:rPr>
          <w:rFonts w:cs="Calibri"/>
          <w:lang w:val="sq-AL" w:eastAsia="en-GB"/>
        </w:rPr>
        <w:t>Faktor efikasnosti</w:t>
      </w:r>
    </w:p>
    <w:p w:rsidR="0075093C" w:rsidRPr="00450894" w:rsidRDefault="002C5386" w:rsidP="002C5386">
      <w:pPr>
        <w:pStyle w:val="ListParagraph"/>
        <w:numPr>
          <w:ilvl w:val="0"/>
          <w:numId w:val="19"/>
        </w:numPr>
        <w:rPr>
          <w:rFonts w:cs="Calibri"/>
          <w:lang w:val="sq-AL" w:eastAsia="en-GB"/>
        </w:rPr>
      </w:pPr>
      <w:r w:rsidRPr="002C5386">
        <w:rPr>
          <w:rFonts w:cs="Calibri"/>
          <w:lang w:val="sq-AL" w:eastAsia="en-GB"/>
        </w:rPr>
        <w:t>Faktor razdvajanja neravnoteža</w:t>
      </w:r>
      <w:r w:rsidR="0075093C" w:rsidRPr="00450894">
        <w:rPr>
          <w:rFonts w:cs="Calibri"/>
          <w:lang w:val="sq-AL" w:eastAsia="en-GB"/>
        </w:rPr>
        <w:t xml:space="preserve"> </w:t>
      </w:r>
    </w:p>
    <w:p w:rsidR="0075093C" w:rsidRPr="00DA3C6E" w:rsidRDefault="002C5386" w:rsidP="002C5386">
      <w:pPr>
        <w:pStyle w:val="ListParagraph"/>
        <w:numPr>
          <w:ilvl w:val="0"/>
          <w:numId w:val="19"/>
        </w:numPr>
        <w:rPr>
          <w:rFonts w:cs="Calibri"/>
          <w:lang w:val="sq-AL" w:eastAsia="en-GB"/>
        </w:rPr>
      </w:pPr>
      <w:r>
        <w:rPr>
          <w:rFonts w:cs="Calibri"/>
          <w:lang w:val="sq-AL" w:eastAsia="en-GB"/>
        </w:rPr>
        <w:t>Ekonomska d</w:t>
      </w:r>
      <w:r w:rsidR="00D56790">
        <w:rPr>
          <w:rFonts w:cs="Calibri"/>
          <w:lang w:val="sq-AL" w:eastAsia="en-GB"/>
        </w:rPr>
        <w:t>ugovečnost sredstava</w:t>
      </w:r>
    </w:p>
    <w:p w:rsidR="0075093C" w:rsidRPr="00DA3C6E" w:rsidRDefault="002C5386" w:rsidP="002C5386">
      <w:pPr>
        <w:pStyle w:val="ListParagraph"/>
        <w:numPr>
          <w:ilvl w:val="0"/>
          <w:numId w:val="19"/>
        </w:numPr>
        <w:rPr>
          <w:lang w:val="sq-AL"/>
        </w:rPr>
      </w:pPr>
      <w:r>
        <w:rPr>
          <w:lang w:val="sq-AL"/>
        </w:rPr>
        <w:t>Bilo koji drugi ulazni parametar</w:t>
      </w:r>
      <w:r w:rsidRPr="002C5386">
        <w:rPr>
          <w:lang w:val="sq-AL"/>
        </w:rPr>
        <w:t xml:space="preserve"> koje regulator može smatrati neophodnim</w:t>
      </w:r>
      <w:r w:rsidR="0075093C" w:rsidRPr="00DA3C6E">
        <w:rPr>
          <w:lang w:val="sq-AL"/>
        </w:rPr>
        <w:t>.*</w:t>
      </w:r>
    </w:p>
    <w:p w:rsidR="0075093C" w:rsidRPr="00450894" w:rsidRDefault="0075093C" w:rsidP="00E742CD">
      <w:pPr>
        <w:jc w:val="both"/>
        <w:rPr>
          <w:lang w:val="sq-AL"/>
        </w:rPr>
      </w:pPr>
      <w:r w:rsidRPr="00450894">
        <w:rPr>
          <w:lang w:val="sq-AL"/>
        </w:rPr>
        <w:t xml:space="preserve">* </w:t>
      </w:r>
      <w:r w:rsidR="002C5386" w:rsidRPr="002C5386">
        <w:rPr>
          <w:lang w:val="sq-AL"/>
        </w:rPr>
        <w:t>Regulator tokom ovog procesa smatra neophodnim da unapred odredi faktor efikasnosti u kon</w:t>
      </w:r>
      <w:r w:rsidR="002C5386">
        <w:rPr>
          <w:lang w:val="sq-AL"/>
        </w:rPr>
        <w:t>trolisanom OPEX-u kao još jedan ulazni parametar</w:t>
      </w:r>
      <w:r w:rsidR="002C5386" w:rsidRPr="002C5386">
        <w:rPr>
          <w:lang w:val="sq-AL"/>
        </w:rPr>
        <w:t>. Postavljanje faktora efikasnosti je u principu isto kao i kod drugih regulisanih operatera, ali su pri nj</w:t>
      </w:r>
      <w:r w:rsidR="001E257E">
        <w:rPr>
          <w:lang w:val="sq-AL"/>
        </w:rPr>
        <w:t>egovom određivanju razmotrene</w:t>
      </w:r>
      <w:r w:rsidR="002C5386" w:rsidRPr="002C5386">
        <w:rPr>
          <w:lang w:val="sq-AL"/>
        </w:rPr>
        <w:t xml:space="preserve"> pos</w:t>
      </w:r>
      <w:r w:rsidR="002C5386">
        <w:rPr>
          <w:lang w:val="sq-AL"/>
        </w:rPr>
        <w:t>ebne karakteristike snabdevanja</w:t>
      </w:r>
      <w:r w:rsidRPr="00450894">
        <w:rPr>
          <w:lang w:val="sq-AL"/>
        </w:rPr>
        <w:t>.</w:t>
      </w:r>
    </w:p>
    <w:p w:rsidR="00C85B1F" w:rsidRDefault="00C85B1F" w:rsidP="0075093C">
      <w:pPr>
        <w:rPr>
          <w:lang w:val="sq-AL"/>
        </w:rPr>
      </w:pPr>
    </w:p>
    <w:p w:rsidR="0075093C" w:rsidRPr="00C85B1F" w:rsidRDefault="00C85B1F" w:rsidP="00C85B1F">
      <w:pPr>
        <w:tabs>
          <w:tab w:val="left" w:pos="8064"/>
        </w:tabs>
        <w:rPr>
          <w:lang w:val="sq-AL"/>
        </w:rPr>
      </w:pPr>
      <w:r>
        <w:rPr>
          <w:lang w:val="sq-AL"/>
        </w:rPr>
        <w:tab/>
      </w:r>
    </w:p>
    <w:p w:rsidR="0075093C" w:rsidRPr="00450894" w:rsidRDefault="00D21336" w:rsidP="00D21336">
      <w:pPr>
        <w:pStyle w:val="Heading2"/>
        <w:rPr>
          <w:lang w:val="sq-AL"/>
        </w:rPr>
      </w:pPr>
      <w:bookmarkStart w:id="0" w:name="_Toc88226446"/>
      <w:r>
        <w:rPr>
          <w:lang w:val="sq-AL"/>
        </w:rPr>
        <w:lastRenderedPageBreak/>
        <w:t>Maloprodajne M</w:t>
      </w:r>
      <w:r w:rsidRPr="00D21336">
        <w:rPr>
          <w:lang w:val="sq-AL"/>
        </w:rPr>
        <w:t>arže</w:t>
      </w:r>
      <w:bookmarkEnd w:id="0"/>
    </w:p>
    <w:p w:rsidR="0075093C" w:rsidRPr="00450894" w:rsidRDefault="00703E3C" w:rsidP="0075093C">
      <w:pPr>
        <w:rPr>
          <w:lang w:val="sq-AL"/>
        </w:rPr>
      </w:pPr>
      <w:r w:rsidRPr="00703E3C">
        <w:rPr>
          <w:lang w:val="sq-AL"/>
        </w:rPr>
        <w:t>Maloprodajna marža</w:t>
      </w:r>
      <w:r>
        <w:rPr>
          <w:lang w:val="sq-AL"/>
        </w:rPr>
        <w:t xml:space="preserve"> je povraćaj procenta koji SUU</w:t>
      </w:r>
      <w:r w:rsidRPr="00703E3C">
        <w:rPr>
          <w:lang w:val="sq-AL"/>
        </w:rPr>
        <w:t xml:space="preserve"> može da dobije na troškovima </w:t>
      </w:r>
      <w:r w:rsidR="001E257E">
        <w:rPr>
          <w:lang w:val="sq-AL"/>
        </w:rPr>
        <w:t>velikoprodajne kupovine</w:t>
      </w:r>
      <w:r w:rsidRPr="00703E3C">
        <w:rPr>
          <w:lang w:val="sq-AL"/>
        </w:rPr>
        <w:t xml:space="preserve"> kako bi nadoknad</w:t>
      </w:r>
      <w:r>
        <w:rPr>
          <w:lang w:val="sq-AL"/>
        </w:rPr>
        <w:t>io rizik koji preuzima u snabdevanju</w:t>
      </w:r>
      <w:r w:rsidR="007E4C63">
        <w:rPr>
          <w:lang w:val="sq-AL"/>
        </w:rPr>
        <w:t xml:space="preserve"> prilago</w:t>
      </w:r>
      <w:r w:rsidR="007E4C63">
        <w:rPr>
          <w:rFonts w:cstheme="minorHAnsi"/>
          <w:lang w:val="sq-AL"/>
        </w:rPr>
        <w:t>đ</w:t>
      </w:r>
      <w:r w:rsidR="007E4C63">
        <w:rPr>
          <w:lang w:val="sq-AL"/>
        </w:rPr>
        <w:t>enih</w:t>
      </w:r>
      <w:r w:rsidRPr="00703E3C">
        <w:rPr>
          <w:lang w:val="sq-AL"/>
        </w:rPr>
        <w:t xml:space="preserve"> usluga.</w:t>
      </w:r>
    </w:p>
    <w:p w:rsidR="0075093C" w:rsidRPr="00450894" w:rsidRDefault="00481A2C" w:rsidP="0075093C">
      <w:pPr>
        <w:jc w:val="both"/>
        <w:rPr>
          <w:lang w:val="sq-AL"/>
        </w:rPr>
      </w:pPr>
      <w:r>
        <w:rPr>
          <w:lang w:val="sq-AL"/>
        </w:rPr>
        <w:t>Pošto je S</w:t>
      </w:r>
      <w:r w:rsidR="00FE671E">
        <w:rPr>
          <w:lang w:val="sq-AL"/>
        </w:rPr>
        <w:t>nabdeva</w:t>
      </w:r>
      <w:r w:rsidR="00FE671E">
        <w:rPr>
          <w:rFonts w:cstheme="minorHAnsi"/>
          <w:lang w:val="sq-AL"/>
        </w:rPr>
        <w:t>č</w:t>
      </w:r>
      <w:r>
        <w:rPr>
          <w:lang w:val="sq-AL"/>
        </w:rPr>
        <w:t xml:space="preserve"> Univerzalnih U</w:t>
      </w:r>
      <w:r w:rsidR="001E257E">
        <w:rPr>
          <w:lang w:val="sq-AL"/>
        </w:rPr>
        <w:t>sluga prilago</w:t>
      </w:r>
      <w:r w:rsidR="001E257E">
        <w:rPr>
          <w:rFonts w:cstheme="minorHAnsi"/>
          <w:lang w:val="sq-AL"/>
        </w:rPr>
        <w:t>đ</w:t>
      </w:r>
      <w:r w:rsidR="001E257E">
        <w:rPr>
          <w:lang w:val="sq-AL"/>
        </w:rPr>
        <w:t>ena</w:t>
      </w:r>
      <w:r w:rsidR="007E4C63" w:rsidRPr="007E4C63">
        <w:rPr>
          <w:lang w:val="sq-AL"/>
        </w:rPr>
        <w:t xml:space="preserve"> delatnost u energetskom sektoru, stoga su operativni troškovi i drugi faktori troškova koji se odnose na pružanje usluga korisnicima unapred određeni. Iz toga proizilazi da kompanija nije u obavezi da utvrđuje svoju dobit na konkurentskoj osnovi, već Regulator postavlja nivo marže kao razumnu dobit, uzimaj</w:t>
      </w:r>
      <w:r w:rsidR="001E257E">
        <w:rPr>
          <w:lang w:val="sq-AL"/>
        </w:rPr>
        <w:t>ući u obzir rizike koje snabdev</w:t>
      </w:r>
      <w:r w:rsidR="007E4C63" w:rsidRPr="007E4C63">
        <w:rPr>
          <w:lang w:val="sq-AL"/>
        </w:rPr>
        <w:t>ač preuzi</w:t>
      </w:r>
      <w:r w:rsidR="001E257E">
        <w:rPr>
          <w:lang w:val="sq-AL"/>
        </w:rPr>
        <w:t>ma u pružanju usluga prilago</w:t>
      </w:r>
      <w:r w:rsidR="001E257E">
        <w:rPr>
          <w:rFonts w:cstheme="minorHAnsi"/>
          <w:lang w:val="sq-AL"/>
        </w:rPr>
        <w:t>đ</w:t>
      </w:r>
      <w:r w:rsidR="001E257E">
        <w:rPr>
          <w:lang w:val="sq-AL"/>
        </w:rPr>
        <w:t>enim potro</w:t>
      </w:r>
      <w:r w:rsidR="001E257E">
        <w:rPr>
          <w:rFonts w:cstheme="minorHAnsi"/>
          <w:lang w:val="sq-AL"/>
        </w:rPr>
        <w:t>š</w:t>
      </w:r>
      <w:r w:rsidR="001E257E">
        <w:rPr>
          <w:lang w:val="sq-AL"/>
        </w:rPr>
        <w:t>a</w:t>
      </w:r>
      <w:r w:rsidR="001E257E">
        <w:rPr>
          <w:rFonts w:cstheme="minorHAnsi"/>
          <w:lang w:val="sq-AL"/>
        </w:rPr>
        <w:t>ć</w:t>
      </w:r>
      <w:r w:rsidR="001E257E">
        <w:rPr>
          <w:lang w:val="sq-AL"/>
        </w:rPr>
        <w:t>ima</w:t>
      </w:r>
      <w:r w:rsidR="007E4C63" w:rsidRPr="007E4C63">
        <w:rPr>
          <w:lang w:val="sq-AL"/>
        </w:rPr>
        <w:t>. Prilikom njegovog utvrđivanja, Regulato</w:t>
      </w:r>
      <w:r w:rsidR="008E2AD0">
        <w:rPr>
          <w:lang w:val="sq-AL"/>
        </w:rPr>
        <w:t>r, pored procene izloženosti SU</w:t>
      </w:r>
      <w:r w:rsidR="007E4C63" w:rsidRPr="007E4C63">
        <w:rPr>
          <w:lang w:val="sq-AL"/>
        </w:rPr>
        <w:t>U riziku koji preuzima da bi pružio uslugu, uzima u obzi</w:t>
      </w:r>
      <w:r w:rsidR="008E2AD0">
        <w:rPr>
          <w:lang w:val="sq-AL"/>
        </w:rPr>
        <w:t>r uporedivost sa maržom snabdevača u drugim E</w:t>
      </w:r>
      <w:r w:rsidR="007E4C63" w:rsidRPr="007E4C63">
        <w:rPr>
          <w:lang w:val="sq-AL"/>
        </w:rPr>
        <w:t xml:space="preserve">vropskim zemljama, posebno sa zemljama sa sličnim karakteristikama kao na </w:t>
      </w:r>
      <w:r w:rsidR="00C4259E">
        <w:rPr>
          <w:lang w:val="sq-AL"/>
        </w:rPr>
        <w:t xml:space="preserve">tržištu </w:t>
      </w:r>
      <w:r w:rsidR="007E4C63" w:rsidRPr="007E4C63">
        <w:rPr>
          <w:lang w:val="sq-AL"/>
        </w:rPr>
        <w:t xml:space="preserve">Kosovu. </w:t>
      </w:r>
    </w:p>
    <w:p w:rsidR="0075093C" w:rsidRPr="00450894" w:rsidRDefault="001C4C42" w:rsidP="0075093C">
      <w:pPr>
        <w:pStyle w:val="Heading3"/>
        <w:rPr>
          <w:lang w:val="sq-AL"/>
        </w:rPr>
      </w:pPr>
      <w:bookmarkStart w:id="1" w:name="_Toc88226447"/>
      <w:r>
        <w:rPr>
          <w:lang w:val="sq-AL"/>
        </w:rPr>
        <w:t>Aplikacija</w:t>
      </w:r>
      <w:r w:rsidR="0075093C" w:rsidRPr="00450894">
        <w:rPr>
          <w:lang w:val="sq-AL"/>
        </w:rPr>
        <w:t xml:space="preserve"> KESCO</w:t>
      </w:r>
      <w:bookmarkEnd w:id="1"/>
      <w:r>
        <w:rPr>
          <w:lang w:val="sq-AL"/>
        </w:rPr>
        <w:t>-a</w:t>
      </w:r>
    </w:p>
    <w:p w:rsidR="0075093C" w:rsidRPr="00450894" w:rsidRDefault="00BA30C7" w:rsidP="0075093C">
      <w:pPr>
        <w:jc w:val="both"/>
        <w:rPr>
          <w:lang w:val="sq-AL"/>
        </w:rPr>
      </w:pPr>
      <w:r w:rsidRPr="00BA30C7">
        <w:rPr>
          <w:lang w:val="sq-AL"/>
        </w:rPr>
        <w:t>U svojoj primeni, KESCO predlaže da se održi trenutna maloprodajna marža od 3,0%, kako bi se obezbedio adekvatan balans između kompenzacije rizika i kako bi se izbegla šteta potencija</w:t>
      </w:r>
      <w:r w:rsidR="00684272">
        <w:rPr>
          <w:lang w:val="sq-AL"/>
        </w:rPr>
        <w:t>lnim novim konkurentskim snabdeva</w:t>
      </w:r>
      <w:r w:rsidRPr="00BA30C7">
        <w:rPr>
          <w:lang w:val="sq-AL"/>
        </w:rPr>
        <w:t>čima.</w:t>
      </w:r>
    </w:p>
    <w:p w:rsidR="0075093C" w:rsidRPr="00CC5249" w:rsidRDefault="009577D2" w:rsidP="0075093C">
      <w:pPr>
        <w:jc w:val="both"/>
        <w:rPr>
          <w:lang w:val="sq-AL"/>
        </w:rPr>
      </w:pPr>
      <w:r w:rsidRPr="009577D2">
        <w:rPr>
          <w:lang w:val="sq-AL"/>
        </w:rPr>
        <w:t>KESCO navodi da maloprodaj</w:t>
      </w:r>
      <w:r w:rsidR="000E4E1D">
        <w:rPr>
          <w:lang w:val="sq-AL"/>
        </w:rPr>
        <w:t>ne marže za neizvršene snabdev</w:t>
      </w:r>
      <w:r w:rsidRPr="009577D2">
        <w:rPr>
          <w:lang w:val="sq-AL"/>
        </w:rPr>
        <w:t xml:space="preserve">ače, </w:t>
      </w:r>
      <w:r w:rsidR="000E4E1D">
        <w:rPr>
          <w:lang w:val="sq-AL"/>
        </w:rPr>
        <w:t>kada se primenjuju u Evropskoj Uniji i Energetskoj Z</w:t>
      </w:r>
      <w:r w:rsidRPr="009577D2">
        <w:rPr>
          <w:lang w:val="sq-AL"/>
        </w:rPr>
        <w:t>ajednici, određuje regulator ili putem aukcija. Dalje se navodi da, među susednim zemljama</w:t>
      </w:r>
      <w:r w:rsidR="000E4E1D">
        <w:rPr>
          <w:lang w:val="sq-AL"/>
        </w:rPr>
        <w:t>, Albanija primenjuje prilago</w:t>
      </w:r>
      <w:r w:rsidR="000E4E1D">
        <w:rPr>
          <w:rFonts w:cstheme="minorHAnsi"/>
          <w:lang w:val="sq-AL"/>
        </w:rPr>
        <w:t>đ</w:t>
      </w:r>
      <w:r w:rsidR="000E4E1D">
        <w:rPr>
          <w:lang w:val="sq-AL"/>
        </w:rPr>
        <w:t>enu</w:t>
      </w:r>
      <w:r w:rsidRPr="009577D2">
        <w:rPr>
          <w:lang w:val="sq-AL"/>
        </w:rPr>
        <w:t xml:space="preserve"> maržu postavljenu na 3% kao na Kosovu, dok je u Makedoniji marža određena na poslednjoj aukciji, 2019. godine, što je rezultiralo maržom od 11,5% (uključujući sve parametre maloprodajn</w:t>
      </w:r>
      <w:r w:rsidR="00C1454E">
        <w:rPr>
          <w:lang w:val="sq-AL"/>
        </w:rPr>
        <w:t>ih troškova, lošeg duga i dobita</w:t>
      </w:r>
      <w:r w:rsidRPr="009577D2">
        <w:rPr>
          <w:lang w:val="sq-AL"/>
        </w:rPr>
        <w:t>).</w:t>
      </w:r>
      <w:r w:rsidR="008B39A3">
        <w:rPr>
          <w:lang w:val="sq-AL"/>
        </w:rPr>
        <w:t xml:space="preserve"> </w:t>
      </w:r>
    </w:p>
    <w:p w:rsidR="0075093C" w:rsidRPr="00EF4D5D" w:rsidRDefault="00065BFF" w:rsidP="00065BFF">
      <w:pPr>
        <w:pStyle w:val="Heading3"/>
      </w:pPr>
      <w:bookmarkStart w:id="2" w:name="_Toc88226448"/>
      <w:r w:rsidRPr="00065BFF">
        <w:rPr>
          <w:lang w:val="sq-AL"/>
        </w:rPr>
        <w:t>Razmatranje i predlog RUE-a</w:t>
      </w:r>
      <w:r>
        <w:rPr>
          <w:lang w:val="sq-AL"/>
        </w:rPr>
        <w:t xml:space="preserve"> za maloprodajnu M</w:t>
      </w:r>
      <w:r w:rsidRPr="00065BFF">
        <w:rPr>
          <w:lang w:val="sq-AL"/>
        </w:rPr>
        <w:t>aržu SUU-a</w:t>
      </w:r>
      <w:bookmarkEnd w:id="2"/>
    </w:p>
    <w:p w:rsidR="0075093C" w:rsidRPr="00EF4D5D" w:rsidRDefault="00065BFF" w:rsidP="0075093C">
      <w:pPr>
        <w:jc w:val="both"/>
        <w:rPr>
          <w:lang w:val="sq-AL"/>
        </w:rPr>
      </w:pPr>
      <w:r w:rsidRPr="00065BFF">
        <w:rPr>
          <w:lang w:val="sq-AL"/>
        </w:rPr>
        <w:t>Prilikom procene nivoa maloprodajne marže, RUE je analizirao pristupe koje koriste regulatori u različitim zemljama E</w:t>
      </w:r>
      <w:r w:rsidR="0051424F">
        <w:rPr>
          <w:lang w:val="sq-AL"/>
        </w:rPr>
        <w:t>vrope i regiona Balkana, faktori</w:t>
      </w:r>
      <w:r w:rsidRPr="00065BFF">
        <w:rPr>
          <w:lang w:val="sq-AL"/>
        </w:rPr>
        <w:t xml:space="preserve"> koji se analiziraju tokom njenog utvrđivanja, kao i trži</w:t>
      </w:r>
      <w:r>
        <w:rPr>
          <w:lang w:val="sq-AL"/>
        </w:rPr>
        <w:t>šne uslove i okolnosti. Treba pomenuti da je malo E</w:t>
      </w:r>
      <w:r w:rsidRPr="00065BFF">
        <w:rPr>
          <w:lang w:val="sq-AL"/>
        </w:rPr>
        <w:t xml:space="preserve">vropskih zemalja koje nastavljaju da regulišu cene za </w:t>
      </w:r>
      <w:r w:rsidR="0051424F">
        <w:rPr>
          <w:lang w:val="sq-AL"/>
        </w:rPr>
        <w:t>maloprodajno snabdevanje</w:t>
      </w:r>
      <w:r w:rsidRPr="00065BFF">
        <w:rPr>
          <w:lang w:val="sq-AL"/>
        </w:rPr>
        <w:t>,</w:t>
      </w:r>
      <w:r>
        <w:rPr>
          <w:lang w:val="sq-AL"/>
        </w:rPr>
        <w:t xml:space="preserve"> a samim tim određuju maržu za snabdeva</w:t>
      </w:r>
      <w:r w:rsidRPr="00065BFF">
        <w:rPr>
          <w:lang w:val="sq-AL"/>
        </w:rPr>
        <w:t>če. Sledeće opisuje iskustva različitih zemalja koje primenjuju marže koj</w:t>
      </w:r>
      <w:r>
        <w:rPr>
          <w:lang w:val="sq-AL"/>
        </w:rPr>
        <w:t>e su unapred odredili doma</w:t>
      </w:r>
      <w:r>
        <w:rPr>
          <w:rFonts w:cstheme="minorHAnsi"/>
          <w:lang w:val="sq-AL"/>
        </w:rPr>
        <w:t>ć</w:t>
      </w:r>
      <w:r>
        <w:rPr>
          <w:lang w:val="sq-AL"/>
        </w:rPr>
        <w:t>i regulatori</w:t>
      </w:r>
      <w:r w:rsidR="0075093C" w:rsidRPr="00EF4D5D">
        <w:rPr>
          <w:lang w:val="sq-AL"/>
        </w:rPr>
        <w:t xml:space="preserve">: </w:t>
      </w:r>
    </w:p>
    <w:p w:rsidR="0075093C" w:rsidRDefault="00065BFF" w:rsidP="00065BFF">
      <w:pPr>
        <w:pStyle w:val="ListParagraph"/>
        <w:numPr>
          <w:ilvl w:val="0"/>
          <w:numId w:val="17"/>
        </w:numPr>
        <w:rPr>
          <w:lang w:val="sq-AL"/>
        </w:rPr>
      </w:pPr>
      <w:r w:rsidRPr="00065BFF">
        <w:rPr>
          <w:lang w:val="sq-AL"/>
        </w:rPr>
        <w:t xml:space="preserve">Regulatorni </w:t>
      </w:r>
      <w:r>
        <w:rPr>
          <w:lang w:val="sq-AL"/>
        </w:rPr>
        <w:t>Energetski entitetet</w:t>
      </w:r>
      <w:r w:rsidRPr="00065BFF">
        <w:rPr>
          <w:lang w:val="sq-AL"/>
        </w:rPr>
        <w:t xml:space="preserve"> Albanije je kroz regulatorni okvir postavio maloprodajnu maržu na nivou ne većem od 3%.</w:t>
      </w:r>
      <w:r w:rsidRPr="00CC5249">
        <w:rPr>
          <w:rStyle w:val="FootnoteReference"/>
          <w:lang w:val="sq-AL"/>
        </w:rPr>
        <w:footnoteReference w:id="1"/>
      </w:r>
      <w:r w:rsidRPr="00CC5249">
        <w:rPr>
          <w:lang w:val="sq-AL"/>
        </w:rPr>
        <w:t xml:space="preserve"> </w:t>
      </w:r>
      <w:r w:rsidRPr="00065BFF">
        <w:rPr>
          <w:lang w:val="sq-AL"/>
        </w:rPr>
        <w:t xml:space="preserve"> Ovo omogućava Regulatoru da postavi marže na nižim nivoima, ali ne većim od 3%.</w:t>
      </w:r>
      <w:r>
        <w:rPr>
          <w:lang w:val="sq-AL"/>
        </w:rPr>
        <w:t xml:space="preserve"> </w:t>
      </w:r>
    </w:p>
    <w:p w:rsidR="00BE442B" w:rsidRDefault="00065BFF" w:rsidP="00065BFF">
      <w:pPr>
        <w:pStyle w:val="ListParagraph"/>
        <w:numPr>
          <w:ilvl w:val="0"/>
          <w:numId w:val="17"/>
        </w:numPr>
        <w:rPr>
          <w:lang w:val="sq-AL"/>
        </w:rPr>
      </w:pPr>
      <w:r w:rsidRPr="00065BFF">
        <w:rPr>
          <w:shd w:val="clear" w:color="auto" w:fill="FFFFFF" w:themeFill="background1"/>
          <w:lang w:val="sq-AL"/>
        </w:rPr>
        <w:t>Severna Makedonija – M</w:t>
      </w:r>
      <w:r>
        <w:rPr>
          <w:shd w:val="clear" w:color="auto" w:fill="FFFFFF" w:themeFill="background1"/>
          <w:lang w:val="sq-AL"/>
        </w:rPr>
        <w:t>aloprodajna marža za prilago</w:t>
      </w:r>
      <w:r>
        <w:rPr>
          <w:rFonts w:cs="Calibri"/>
          <w:shd w:val="clear" w:color="auto" w:fill="FFFFFF" w:themeFill="background1"/>
          <w:lang w:val="sq-AL"/>
        </w:rPr>
        <w:t>đ</w:t>
      </w:r>
      <w:r>
        <w:rPr>
          <w:shd w:val="clear" w:color="auto" w:fill="FFFFFF" w:themeFill="background1"/>
          <w:lang w:val="sq-AL"/>
        </w:rPr>
        <w:t xml:space="preserve">enog </w:t>
      </w:r>
      <w:r w:rsidR="00BE442B">
        <w:rPr>
          <w:shd w:val="clear" w:color="auto" w:fill="FFFFFF" w:themeFill="background1"/>
          <w:lang w:val="sq-AL"/>
        </w:rPr>
        <w:t>univerzalne usluge i snabdeva</w:t>
      </w:r>
      <w:r w:rsidR="00BE442B">
        <w:rPr>
          <w:rFonts w:cs="Calibri"/>
          <w:shd w:val="clear" w:color="auto" w:fill="FFFFFF" w:themeFill="background1"/>
          <w:lang w:val="sq-AL"/>
        </w:rPr>
        <w:t>č</w:t>
      </w:r>
      <w:r w:rsidR="00BE442B">
        <w:rPr>
          <w:shd w:val="clear" w:color="auto" w:fill="FFFFFF" w:themeFill="background1"/>
          <w:lang w:val="sq-AL"/>
        </w:rPr>
        <w:t>a</w:t>
      </w:r>
      <w:r w:rsidRPr="00065BFF">
        <w:rPr>
          <w:shd w:val="clear" w:color="auto" w:fill="FFFFFF" w:themeFill="background1"/>
          <w:lang w:val="sq-AL"/>
        </w:rPr>
        <w:t xml:space="preserve"> u krajnjoj instanci utvrđuje se kroz konkurentski proces. Marža koja je rezultirala aukcijom 2019. godine je na nivou od 11,5%. Ovaj nivo marže uključuje sve</w:t>
      </w:r>
      <w:r w:rsidR="00BE442B">
        <w:rPr>
          <w:shd w:val="clear" w:color="auto" w:fill="FFFFFF" w:themeFill="background1"/>
          <w:lang w:val="sq-AL"/>
        </w:rPr>
        <w:t xml:space="preserve"> univerzalne troškove snabdeva</w:t>
      </w:r>
      <w:r w:rsidR="00BE442B">
        <w:rPr>
          <w:rFonts w:cs="Calibri"/>
          <w:shd w:val="clear" w:color="auto" w:fill="FFFFFF" w:themeFill="background1"/>
          <w:lang w:val="sq-AL"/>
        </w:rPr>
        <w:t>č</w:t>
      </w:r>
      <w:r w:rsidR="00BE442B">
        <w:rPr>
          <w:shd w:val="clear" w:color="auto" w:fill="FFFFFF" w:themeFill="background1"/>
          <w:lang w:val="sq-AL"/>
        </w:rPr>
        <w:t>a</w:t>
      </w:r>
      <w:r w:rsidRPr="00065BFF">
        <w:rPr>
          <w:shd w:val="clear" w:color="auto" w:fill="FFFFFF" w:themeFill="background1"/>
          <w:lang w:val="sq-AL"/>
        </w:rPr>
        <w:t>, kao što su operativni troš</w:t>
      </w:r>
      <w:r w:rsidR="00BE442B">
        <w:rPr>
          <w:shd w:val="clear" w:color="auto" w:fill="FFFFFF" w:themeFill="background1"/>
          <w:lang w:val="sq-AL"/>
        </w:rPr>
        <w:t>kovi, neizmireni dugovi i dobit</w:t>
      </w:r>
      <w:r w:rsidR="0075093C" w:rsidRPr="00DA3C6E">
        <w:rPr>
          <w:lang w:val="sq-AL"/>
        </w:rPr>
        <w:t xml:space="preserve">. </w:t>
      </w:r>
    </w:p>
    <w:p w:rsidR="0075093C" w:rsidRPr="00DA3C6E" w:rsidRDefault="00BE442B" w:rsidP="00BE442B">
      <w:pPr>
        <w:pStyle w:val="ListParagraph"/>
        <w:rPr>
          <w:lang w:val="sq-AL"/>
        </w:rPr>
      </w:pPr>
      <w:r w:rsidRPr="00BE442B">
        <w:rPr>
          <w:lang w:val="sq-AL"/>
        </w:rPr>
        <w:lastRenderedPageBreak/>
        <w:t>Dakle, Severna Makedonija je koristila drugi model određivanja marže, pra</w:t>
      </w:r>
      <w:r>
        <w:rPr>
          <w:lang w:val="sq-AL"/>
        </w:rPr>
        <w:t>tila je konkurentski proces za “</w:t>
      </w:r>
      <w:r w:rsidRPr="00BE442B">
        <w:rPr>
          <w:lang w:val="sq-AL"/>
        </w:rPr>
        <w:t>troškove na mal</w:t>
      </w:r>
      <w:r>
        <w:rPr>
          <w:lang w:val="sq-AL"/>
        </w:rPr>
        <w:t>poprodaju</w:t>
      </w:r>
      <w:r w:rsidR="008F06E8">
        <w:rPr>
          <w:lang w:val="sq-AL"/>
        </w:rPr>
        <w:t>, loš dug i dobit</w:t>
      </w:r>
      <w:r w:rsidRPr="00BE442B">
        <w:rPr>
          <w:lang w:val="sq-AL"/>
        </w:rPr>
        <w:t>“ koji se kao model razlikuje od drugih zemalja</w:t>
      </w:r>
      <w:r w:rsidR="0075093C" w:rsidRPr="00DA3C6E">
        <w:rPr>
          <w:lang w:val="sq-AL"/>
        </w:rPr>
        <w:t>.</w:t>
      </w:r>
    </w:p>
    <w:p w:rsidR="0075093C" w:rsidRPr="00B26335" w:rsidRDefault="00BE442B" w:rsidP="00D1457E">
      <w:pPr>
        <w:pStyle w:val="ListParagraph"/>
        <w:numPr>
          <w:ilvl w:val="0"/>
          <w:numId w:val="17"/>
        </w:numPr>
        <w:rPr>
          <w:lang w:val="sq-AL"/>
        </w:rPr>
      </w:pPr>
      <w:r w:rsidRPr="00BE442B">
        <w:rPr>
          <w:lang w:val="sq-AL"/>
        </w:rPr>
        <w:t>U Irskoj, Kom</w:t>
      </w:r>
      <w:r>
        <w:rPr>
          <w:lang w:val="sq-AL"/>
        </w:rPr>
        <w:t>isija za Regulatorne U</w:t>
      </w:r>
      <w:r w:rsidRPr="00BE442B">
        <w:rPr>
          <w:lang w:val="sq-AL"/>
        </w:rPr>
        <w:t>sluge (CRE) je procenila prosečnu maloproda</w:t>
      </w:r>
      <w:r>
        <w:rPr>
          <w:lang w:val="sq-AL"/>
        </w:rPr>
        <w:t>jnu maržu koju zarađuju snabdeva</w:t>
      </w:r>
      <w:r w:rsidRPr="00BE442B">
        <w:rPr>
          <w:lang w:val="sq-AL"/>
        </w:rPr>
        <w:t>či na 2% i 1,3%, respektivno, što se smatra odgovarajućom maržom snabdeva</w:t>
      </w:r>
      <w:r>
        <w:rPr>
          <w:lang w:val="sq-AL"/>
        </w:rPr>
        <w:t>nja pod uslovima prilagođavanja</w:t>
      </w:r>
      <w:r w:rsidR="0075093C" w:rsidRPr="00450894">
        <w:rPr>
          <w:lang w:val="sq-AL"/>
        </w:rPr>
        <w:t>.</w:t>
      </w:r>
      <w:r w:rsidR="0075093C" w:rsidRPr="00CC5249">
        <w:rPr>
          <w:rStyle w:val="FootnoteReference"/>
          <w:lang w:val="sq-AL"/>
        </w:rPr>
        <w:footnoteReference w:id="2"/>
      </w:r>
      <w:r w:rsidR="0075093C" w:rsidRPr="00CC5249">
        <w:rPr>
          <w:lang w:val="sq-AL"/>
        </w:rPr>
        <w:t xml:space="preserve"> </w:t>
      </w:r>
      <w:r w:rsidR="00D1457E" w:rsidRPr="00D1457E">
        <w:rPr>
          <w:lang w:val="sq-AL"/>
        </w:rPr>
        <w:t>U vreme ovih marži, CRU je smatrala da je ovo bila odgovarajuća marža, s obzirom na to da nije postojao količinski rizik za regulisane usluge, štaviše, ako kompan</w:t>
      </w:r>
      <w:r w:rsidR="00A60A3E">
        <w:rPr>
          <w:lang w:val="sq-AL"/>
        </w:rPr>
        <w:t xml:space="preserve">ija ne bi nadoknadila svoje pune </w:t>
      </w:r>
      <w:r w:rsidR="00D1457E" w:rsidRPr="00D1457E">
        <w:rPr>
          <w:lang w:val="sq-AL"/>
        </w:rPr>
        <w:t>troškove u roku od godinu dana, onda će se oporaviti u budućim periodima</w:t>
      </w:r>
      <w:r w:rsidR="00A60A3E">
        <w:rPr>
          <w:lang w:val="sq-AL"/>
        </w:rPr>
        <w:t>.</w:t>
      </w:r>
    </w:p>
    <w:p w:rsidR="0075093C" w:rsidRPr="00CC5249" w:rsidRDefault="00A60A3E" w:rsidP="00A60A3E">
      <w:pPr>
        <w:pStyle w:val="ListParagraph"/>
        <w:numPr>
          <w:ilvl w:val="0"/>
          <w:numId w:val="17"/>
        </w:numPr>
        <w:rPr>
          <w:lang w:val="sq-AL"/>
        </w:rPr>
      </w:pPr>
      <w:r>
        <w:rPr>
          <w:lang w:val="sq-AL"/>
        </w:rPr>
        <w:t>Regulatorni Autoritet Turske je u okviru razmatranja parametara prilago</w:t>
      </w:r>
      <w:r>
        <w:rPr>
          <w:rFonts w:cs="Calibri"/>
          <w:lang w:val="sq-AL"/>
        </w:rPr>
        <w:t>đ</w:t>
      </w:r>
      <w:r>
        <w:rPr>
          <w:lang w:val="sq-AL"/>
        </w:rPr>
        <w:t>enog snabdeva</w:t>
      </w:r>
      <w:r w:rsidRPr="00A60A3E">
        <w:rPr>
          <w:lang w:val="sq-AL"/>
        </w:rPr>
        <w:t>ča za četvrti regulatorni period 2021-2025, 2020. godine preko ERRA-e, zatražio od zemalja članica i posmatrača da dostave informacije o njihovoj praksi u određiva</w:t>
      </w:r>
      <w:r>
        <w:rPr>
          <w:lang w:val="sq-AL"/>
        </w:rPr>
        <w:t>nju marže za prilago</w:t>
      </w:r>
      <w:r>
        <w:rPr>
          <w:rFonts w:cs="Calibri"/>
          <w:lang w:val="sq-AL"/>
        </w:rPr>
        <w:t>đ</w:t>
      </w:r>
      <w:r>
        <w:rPr>
          <w:lang w:val="sq-AL"/>
        </w:rPr>
        <w:t>ene snabdeva</w:t>
      </w:r>
      <w:r w:rsidRPr="00A60A3E">
        <w:rPr>
          <w:lang w:val="sq-AL"/>
        </w:rPr>
        <w:t>če. Nakon završetka procesa reviz</w:t>
      </w:r>
      <w:r>
        <w:rPr>
          <w:lang w:val="sq-AL"/>
        </w:rPr>
        <w:t>ije, EMRA je odlučila da mar</w:t>
      </w:r>
      <w:r>
        <w:rPr>
          <w:rFonts w:cs="Calibri"/>
          <w:lang w:val="sq-AL"/>
        </w:rPr>
        <w:t>ž</w:t>
      </w:r>
      <w:r>
        <w:rPr>
          <w:lang w:val="sq-AL"/>
        </w:rPr>
        <w:t>a</w:t>
      </w:r>
      <w:r w:rsidRPr="00A60A3E">
        <w:rPr>
          <w:lang w:val="sq-AL"/>
        </w:rPr>
        <w:t xml:space="preserve"> ponude</w:t>
      </w:r>
      <w:r>
        <w:rPr>
          <w:lang w:val="sq-AL"/>
        </w:rPr>
        <w:t xml:space="preserve"> bude 2,38% za period 2021-2025</w:t>
      </w:r>
      <w:r w:rsidR="0075093C" w:rsidRPr="00B26335">
        <w:rPr>
          <w:lang w:val="sq-AL"/>
        </w:rPr>
        <w:t>.</w:t>
      </w:r>
      <w:r w:rsidR="0075093C" w:rsidRPr="00CC5249">
        <w:rPr>
          <w:rStyle w:val="FootnoteReference"/>
          <w:lang w:val="sq-AL"/>
        </w:rPr>
        <w:footnoteReference w:id="3"/>
      </w:r>
      <w:r w:rsidR="0075093C" w:rsidRPr="00CC5249">
        <w:rPr>
          <w:lang w:val="sq-AL"/>
        </w:rPr>
        <w:t xml:space="preserve"> </w:t>
      </w:r>
    </w:p>
    <w:p w:rsidR="0075093C" w:rsidRPr="00CC5249" w:rsidRDefault="00F071BB" w:rsidP="00F071BB">
      <w:pPr>
        <w:pStyle w:val="ListParagraph"/>
        <w:numPr>
          <w:ilvl w:val="0"/>
          <w:numId w:val="17"/>
        </w:numPr>
        <w:rPr>
          <w:lang w:val="sq-AL"/>
        </w:rPr>
      </w:pPr>
      <w:r w:rsidRPr="00F071BB">
        <w:rPr>
          <w:lang w:val="sq-AL"/>
        </w:rPr>
        <w:t>Iz datih informacija i istraživanja metodolo</w:t>
      </w:r>
      <w:r>
        <w:rPr>
          <w:lang w:val="sq-AL"/>
        </w:rPr>
        <w:t>gija, vidi se da je Nacionalna Regulatorna Komisija za Energetiku i V</w:t>
      </w:r>
      <w:r w:rsidRPr="00F071BB">
        <w:rPr>
          <w:lang w:val="sq-AL"/>
        </w:rPr>
        <w:t>odu Gruz</w:t>
      </w:r>
      <w:r>
        <w:rPr>
          <w:lang w:val="sq-AL"/>
        </w:rPr>
        <w:t xml:space="preserve">ije (GNERC), u Metodologiji za </w:t>
      </w:r>
      <w:r w:rsidR="0073248D">
        <w:rPr>
          <w:lang w:val="sq-AL"/>
        </w:rPr>
        <w:t>Izra</w:t>
      </w:r>
      <w:r>
        <w:rPr>
          <w:lang w:val="sq-AL"/>
        </w:rPr>
        <w:t>čun Tarifa za Univerzalne U</w:t>
      </w:r>
      <w:r w:rsidRPr="00F071BB">
        <w:rPr>
          <w:lang w:val="sq-AL"/>
        </w:rPr>
        <w:t>sluge, postavila stop</w:t>
      </w:r>
      <w:r w:rsidR="00427BEE">
        <w:rPr>
          <w:lang w:val="sq-AL"/>
        </w:rPr>
        <w:t xml:space="preserve">u od 1,5% kao razumnu stopu dobita </w:t>
      </w:r>
      <w:r>
        <w:rPr>
          <w:lang w:val="sq-AL"/>
        </w:rPr>
        <w:t>primenjuje se na cenu izračunavanja u razlici između Snabdeva</w:t>
      </w:r>
      <w:r>
        <w:rPr>
          <w:rFonts w:cs="Calibri"/>
          <w:lang w:val="sq-AL"/>
        </w:rPr>
        <w:t>č</w:t>
      </w:r>
      <w:r>
        <w:rPr>
          <w:lang w:val="sq-AL"/>
        </w:rPr>
        <w:t>a Univerzalnih Usluga i Operatora Veleprodajnih Javnih Usluga</w:t>
      </w:r>
      <w:r w:rsidR="0075093C" w:rsidRPr="00450894">
        <w:rPr>
          <w:lang w:val="sq-AL"/>
        </w:rPr>
        <w:t>.</w:t>
      </w:r>
      <w:r w:rsidR="0075093C" w:rsidRPr="00CC5249">
        <w:rPr>
          <w:rStyle w:val="FootnoteReference"/>
          <w:lang w:val="sq-AL"/>
        </w:rPr>
        <w:footnoteReference w:id="4"/>
      </w:r>
    </w:p>
    <w:p w:rsidR="0075093C" w:rsidRPr="00CC5249" w:rsidRDefault="00F071BB" w:rsidP="00F071BB">
      <w:pPr>
        <w:pStyle w:val="ListParagraph"/>
        <w:numPr>
          <w:ilvl w:val="0"/>
          <w:numId w:val="17"/>
        </w:numPr>
        <w:rPr>
          <w:lang w:val="sq-AL"/>
        </w:rPr>
      </w:pPr>
      <w:r>
        <w:rPr>
          <w:lang w:val="sq-AL"/>
        </w:rPr>
        <w:t>Nacionalna Agencija za Energetskog Regulatora</w:t>
      </w:r>
      <w:r w:rsidRPr="00F071BB">
        <w:rPr>
          <w:lang w:val="sq-AL"/>
        </w:rPr>
        <w:t xml:space="preserve"> Moldavije (ANRE), u metodologiji za izračunavanje regulis</w:t>
      </w:r>
      <w:r w:rsidR="00DC194A">
        <w:rPr>
          <w:lang w:val="sq-AL"/>
        </w:rPr>
        <w:t>anih cena za Snabdeva</w:t>
      </w:r>
      <w:r w:rsidR="00DC194A">
        <w:rPr>
          <w:rFonts w:cs="Calibri"/>
          <w:lang w:val="sq-AL"/>
        </w:rPr>
        <w:t>č</w:t>
      </w:r>
      <w:r w:rsidR="00DC194A">
        <w:rPr>
          <w:lang w:val="sq-AL"/>
        </w:rPr>
        <w:t>a Univerzalnih Usluga i Snabdevača Poslednje Mogu</w:t>
      </w:r>
      <w:r w:rsidR="00DC194A">
        <w:rPr>
          <w:rFonts w:cs="Calibri"/>
          <w:lang w:val="sq-AL"/>
        </w:rPr>
        <w:t>ć</w:t>
      </w:r>
      <w:r w:rsidR="00DC194A">
        <w:rPr>
          <w:lang w:val="sq-AL"/>
        </w:rPr>
        <w:t>nosti postavila je kao mar</w:t>
      </w:r>
      <w:r w:rsidR="00DC194A">
        <w:rPr>
          <w:rFonts w:cs="Calibri"/>
          <w:lang w:val="sq-AL"/>
        </w:rPr>
        <w:t>ž</w:t>
      </w:r>
      <w:r w:rsidR="00DC194A">
        <w:rPr>
          <w:lang w:val="sq-AL"/>
        </w:rPr>
        <w:t>u “stopu povrata</w:t>
      </w:r>
      <w:r w:rsidRPr="00F071BB">
        <w:rPr>
          <w:lang w:val="sq-AL"/>
        </w:rPr>
        <w:t>“ stopu u iznosu od 1% , koja stopa se primenjuje na ukupne troškove (Energija + OPS + ODS + Snabdevanje</w:t>
      </w:r>
      <w:r w:rsidR="0075093C" w:rsidRPr="00450894">
        <w:rPr>
          <w:lang w:val="sq-AL"/>
        </w:rPr>
        <w:t>).</w:t>
      </w:r>
      <w:r w:rsidR="0075093C" w:rsidRPr="00CC5249">
        <w:rPr>
          <w:rStyle w:val="FootnoteReference"/>
          <w:lang w:val="sq-AL"/>
        </w:rPr>
        <w:footnoteReference w:id="5"/>
      </w:r>
    </w:p>
    <w:p w:rsidR="0075093C" w:rsidRPr="00032EE0" w:rsidRDefault="00DC194A" w:rsidP="0075093C">
      <w:pPr>
        <w:rPr>
          <w:lang w:val="sq-AL"/>
        </w:rPr>
      </w:pPr>
      <w:r w:rsidRPr="00DC194A">
        <w:rPr>
          <w:lang w:val="sq-AL"/>
        </w:rPr>
        <w:t>Sa obzirom</w:t>
      </w:r>
      <w:r w:rsidR="0075093C" w:rsidRPr="00B26335">
        <w:rPr>
          <w:lang w:val="sq-AL"/>
        </w:rPr>
        <w:t xml:space="preserve">: </w:t>
      </w:r>
    </w:p>
    <w:p w:rsidR="0075093C" w:rsidRPr="00450894" w:rsidRDefault="00DC194A" w:rsidP="00DC194A">
      <w:pPr>
        <w:pStyle w:val="ListParagraph"/>
        <w:numPr>
          <w:ilvl w:val="0"/>
          <w:numId w:val="16"/>
        </w:numPr>
        <w:rPr>
          <w:lang w:val="sq-AL"/>
        </w:rPr>
      </w:pPr>
      <w:r>
        <w:rPr>
          <w:lang w:val="sq-AL"/>
        </w:rPr>
        <w:t>KESCO-SUU</w:t>
      </w:r>
      <w:r w:rsidRPr="00DC194A">
        <w:rPr>
          <w:lang w:val="sq-AL"/>
        </w:rPr>
        <w:t xml:space="preserve"> nije izložen riziku od količine energije, štaviše, energi</w:t>
      </w:r>
      <w:r>
        <w:rPr>
          <w:lang w:val="sq-AL"/>
        </w:rPr>
        <w:t>ja iz KEK-a je prioritet za SUU</w:t>
      </w:r>
      <w:r w:rsidRPr="00DC194A">
        <w:rPr>
          <w:lang w:val="sq-AL"/>
        </w:rPr>
        <w:t xml:space="preserve"> </w:t>
      </w:r>
      <w:r>
        <w:rPr>
          <w:lang w:val="sq-AL"/>
        </w:rPr>
        <w:t>KESCO-SUU</w:t>
      </w:r>
      <w:r w:rsidR="0075093C" w:rsidRPr="00B1408C">
        <w:rPr>
          <w:lang w:val="sq-AL"/>
        </w:rPr>
        <w:t>;</w:t>
      </w:r>
    </w:p>
    <w:p w:rsidR="0075093C" w:rsidRPr="00450894" w:rsidRDefault="00DC194A" w:rsidP="00DC194A">
      <w:pPr>
        <w:pStyle w:val="ListParagraph"/>
        <w:numPr>
          <w:ilvl w:val="0"/>
          <w:numId w:val="16"/>
        </w:numPr>
        <w:rPr>
          <w:lang w:val="sq-AL"/>
        </w:rPr>
      </w:pPr>
      <w:r w:rsidRPr="00DC194A">
        <w:rPr>
          <w:lang w:val="sq-AL"/>
        </w:rPr>
        <w:t>Obavljene kupovine</w:t>
      </w:r>
      <w:r>
        <w:rPr>
          <w:lang w:val="sq-AL"/>
        </w:rPr>
        <w:t xml:space="preserve"> trgovaca se prenose na troškove SUU-a;</w:t>
      </w:r>
    </w:p>
    <w:p w:rsidR="0075093C" w:rsidRPr="00450894" w:rsidRDefault="001D178F" w:rsidP="00EB4800">
      <w:pPr>
        <w:pStyle w:val="ListParagraph"/>
        <w:numPr>
          <w:ilvl w:val="0"/>
          <w:numId w:val="16"/>
        </w:numPr>
        <w:rPr>
          <w:lang w:val="sq-AL"/>
        </w:rPr>
      </w:pPr>
      <w:r>
        <w:rPr>
          <w:lang w:val="sq-AL"/>
        </w:rPr>
        <w:lastRenderedPageBreak/>
        <w:t>Celi</w:t>
      </w:r>
      <w:r w:rsidR="00EB4800">
        <w:rPr>
          <w:lang w:val="sq-AL"/>
        </w:rPr>
        <w:t xml:space="preserve"> troškovi SU</w:t>
      </w:r>
      <w:r w:rsidR="00EB4800" w:rsidRPr="00EB4800">
        <w:rPr>
          <w:lang w:val="sq-AL"/>
        </w:rPr>
        <w:t>U</w:t>
      </w:r>
      <w:r w:rsidR="00EB4800">
        <w:rPr>
          <w:lang w:val="sq-AL"/>
        </w:rPr>
        <w:t>-a</w:t>
      </w:r>
      <w:r w:rsidR="00EB4800" w:rsidRPr="00EB4800">
        <w:rPr>
          <w:lang w:val="sq-AL"/>
        </w:rPr>
        <w:t xml:space="preserve"> se priz</w:t>
      </w:r>
      <w:r w:rsidR="00EB4800">
        <w:rPr>
          <w:lang w:val="sq-AL"/>
        </w:rPr>
        <w:t>naju i prilagođavaju tokom razmatranja</w:t>
      </w:r>
      <w:r w:rsidR="00EB4800" w:rsidRPr="00EB4800">
        <w:rPr>
          <w:lang w:val="sq-AL"/>
        </w:rPr>
        <w:t xml:space="preserve"> tarifa</w:t>
      </w:r>
      <w:r w:rsidR="0075093C" w:rsidRPr="00450894">
        <w:rPr>
          <w:lang w:val="sq-AL"/>
        </w:rPr>
        <w:t>;</w:t>
      </w:r>
    </w:p>
    <w:p w:rsidR="0075093C" w:rsidRPr="00450894" w:rsidRDefault="00EB4800" w:rsidP="00EB4800">
      <w:pPr>
        <w:pStyle w:val="ListParagraph"/>
        <w:numPr>
          <w:ilvl w:val="0"/>
          <w:numId w:val="16"/>
        </w:numPr>
        <w:rPr>
          <w:lang w:val="sq-AL"/>
        </w:rPr>
      </w:pPr>
      <w:r w:rsidRPr="00EB4800">
        <w:rPr>
          <w:lang w:val="sq-AL"/>
        </w:rPr>
        <w:t xml:space="preserve">Analiza istorijskih podataka, regulatornih iskustava, </w:t>
      </w:r>
      <w:r>
        <w:rPr>
          <w:lang w:val="sq-AL"/>
        </w:rPr>
        <w:t>uslova i okolnosti rada Snabdeva</w:t>
      </w:r>
      <w:r>
        <w:rPr>
          <w:rFonts w:cs="Calibri"/>
          <w:lang w:val="sq-AL"/>
        </w:rPr>
        <w:t>č</w:t>
      </w:r>
      <w:r>
        <w:rPr>
          <w:lang w:val="sq-AL"/>
        </w:rPr>
        <w:t>a Univerzalnih U</w:t>
      </w:r>
      <w:r w:rsidRPr="00EB4800">
        <w:rPr>
          <w:lang w:val="sq-AL"/>
        </w:rPr>
        <w:t>sluga</w:t>
      </w:r>
    </w:p>
    <w:p w:rsidR="0075093C" w:rsidRDefault="00EB4800" w:rsidP="0075093C">
      <w:pPr>
        <w:rPr>
          <w:lang w:val="sq-AL"/>
        </w:rPr>
      </w:pPr>
      <w:r>
        <w:rPr>
          <w:lang w:val="sq-AL"/>
        </w:rPr>
        <w:t>RUE</w:t>
      </w:r>
      <w:r w:rsidR="0075093C" w:rsidRPr="00450894">
        <w:rPr>
          <w:lang w:val="sq-AL"/>
        </w:rPr>
        <w:t xml:space="preserve"> </w:t>
      </w:r>
      <w:r w:rsidRPr="00EB4800">
        <w:rPr>
          <w:lang w:val="sq-AL"/>
        </w:rPr>
        <w:t>smatra razumnim odrediti maloprodajnu maržu na 2,54% za period 2022-2024. Metodologija za njegovo izračunavanje je data u nastavku:</w:t>
      </w:r>
    </w:p>
    <w:p w:rsidR="0075093C" w:rsidRPr="00450894" w:rsidRDefault="0075093C" w:rsidP="0075093C">
      <w:pPr>
        <w:pStyle w:val="Caption"/>
        <w:rPr>
          <w:lang w:val="sq-AL"/>
        </w:rPr>
      </w:pPr>
      <w:r>
        <w:t xml:space="preserve">Tabela  </w:t>
      </w:r>
      <w:r>
        <w:fldChar w:fldCharType="begin"/>
      </w:r>
      <w:r>
        <w:instrText xml:space="preserve"> SEQ Tabela_ \* ARABIC </w:instrText>
      </w:r>
      <w:r>
        <w:fldChar w:fldCharType="separate"/>
      </w:r>
      <w:r w:rsidR="00AC532D">
        <w:rPr>
          <w:noProof/>
        </w:rPr>
        <w:t>1</w:t>
      </w:r>
      <w:r>
        <w:fldChar w:fldCharType="end"/>
      </w:r>
      <w:r>
        <w:t xml:space="preserve"> </w:t>
      </w:r>
      <w:r w:rsidR="00570A78" w:rsidRPr="00570A78">
        <w:t>Troškovi maloprodajne marže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8"/>
        <w:gridCol w:w="927"/>
        <w:gridCol w:w="1572"/>
        <w:gridCol w:w="2630"/>
        <w:gridCol w:w="2569"/>
      </w:tblGrid>
      <w:tr w:rsidR="0075093C" w:rsidRPr="00450894" w:rsidTr="007509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4E79" w:themeFill="accent1" w:themeFillShade="80"/>
            <w:noWrap/>
            <w:vAlign w:val="center"/>
            <w:hideMark/>
          </w:tcPr>
          <w:p w:rsidR="0075093C" w:rsidRPr="00450894" w:rsidRDefault="00570A78" w:rsidP="0075093C">
            <w:pPr>
              <w:keepNext/>
              <w:spacing w:before="60" w:after="60" w:line="240" w:lineRule="auto"/>
              <w:rPr>
                <w:color w:val="FFFFFF" w:themeColor="background1"/>
                <w:lang w:val="sq-AL"/>
              </w:rPr>
            </w:pPr>
            <w:r>
              <w:rPr>
                <w:color w:val="FFFFFF" w:themeColor="background1"/>
                <w:lang w:val="sq-AL"/>
              </w:rPr>
              <w:t>Godina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4E79" w:themeFill="accent1" w:themeFillShade="80"/>
          </w:tcPr>
          <w:p w:rsidR="0075093C" w:rsidRPr="00450894" w:rsidRDefault="00570A78" w:rsidP="0075093C">
            <w:pPr>
              <w:keepNext/>
              <w:spacing w:before="60" w:after="60" w:line="240" w:lineRule="auto"/>
              <w:rPr>
                <w:color w:val="FFFFFF" w:themeColor="background1"/>
                <w:lang w:val="sq-AL"/>
              </w:rPr>
            </w:pPr>
            <w:r>
              <w:rPr>
                <w:color w:val="FFFFFF" w:themeColor="background1"/>
                <w:lang w:val="sq-AL"/>
              </w:rPr>
              <w:t>Jedinica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4E79" w:themeFill="accent1" w:themeFillShade="80"/>
            <w:noWrap/>
            <w:vAlign w:val="center"/>
            <w:hideMark/>
          </w:tcPr>
          <w:p w:rsidR="0075093C" w:rsidRPr="00450894" w:rsidRDefault="00570A78" w:rsidP="0075093C">
            <w:pPr>
              <w:keepNext/>
              <w:spacing w:before="60" w:after="60" w:line="240" w:lineRule="auto"/>
              <w:rPr>
                <w:color w:val="FFFFFF" w:themeColor="background1"/>
                <w:lang w:val="sq-AL"/>
              </w:rPr>
            </w:pPr>
            <w:r>
              <w:rPr>
                <w:color w:val="FFFFFF" w:themeColor="background1"/>
                <w:lang w:val="sq-AL"/>
              </w:rPr>
              <w:t>Tro</w:t>
            </w:r>
            <w:r>
              <w:rPr>
                <w:rFonts w:cstheme="minorHAnsi"/>
                <w:color w:val="FFFFFF" w:themeColor="background1"/>
                <w:lang w:val="sq-AL"/>
              </w:rPr>
              <w:t>š</w:t>
            </w:r>
            <w:r>
              <w:rPr>
                <w:color w:val="FFFFFF" w:themeColor="background1"/>
                <w:lang w:val="sq-AL"/>
              </w:rPr>
              <w:t>kovi mar</w:t>
            </w:r>
            <w:r>
              <w:rPr>
                <w:rFonts w:ascii="Calibri" w:hAnsi="Calibri" w:cs="Calibri"/>
                <w:color w:val="FFFFFF" w:themeColor="background1"/>
                <w:lang w:val="sq-AL"/>
              </w:rPr>
              <w:t>ž</w:t>
            </w:r>
            <w:r>
              <w:rPr>
                <w:color w:val="FFFFFF" w:themeColor="background1"/>
                <w:lang w:val="sq-A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4E79" w:themeFill="accent1" w:themeFillShade="80"/>
            <w:noWrap/>
            <w:vAlign w:val="center"/>
            <w:hideMark/>
          </w:tcPr>
          <w:p w:rsidR="0075093C" w:rsidRPr="00450894" w:rsidRDefault="00570A78" w:rsidP="0075093C">
            <w:pPr>
              <w:keepNext/>
              <w:spacing w:before="60" w:after="60" w:line="240" w:lineRule="auto"/>
              <w:rPr>
                <w:color w:val="FFFFFF" w:themeColor="background1"/>
                <w:lang w:val="sq-AL"/>
              </w:rPr>
            </w:pPr>
            <w:r>
              <w:rPr>
                <w:color w:val="FFFFFF" w:themeColor="background1"/>
                <w:lang w:val="sq-AL"/>
              </w:rPr>
              <w:t>Bruto T</w:t>
            </w:r>
            <w:r w:rsidRPr="00570A78">
              <w:rPr>
                <w:color w:val="FFFFFF" w:themeColor="background1"/>
                <w:lang w:val="sq-AL"/>
              </w:rPr>
              <w:t>roškovi veleprodaje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4E79" w:themeFill="accent1" w:themeFillShade="80"/>
            <w:noWrap/>
            <w:vAlign w:val="center"/>
            <w:hideMark/>
          </w:tcPr>
          <w:p w:rsidR="0075093C" w:rsidRPr="00450894" w:rsidRDefault="00570A78" w:rsidP="0075093C">
            <w:pPr>
              <w:keepNext/>
              <w:spacing w:before="60" w:after="60" w:line="240" w:lineRule="auto"/>
              <w:rPr>
                <w:color w:val="FFFFFF" w:themeColor="background1"/>
                <w:lang w:val="sq-AL"/>
              </w:rPr>
            </w:pPr>
            <w:r>
              <w:rPr>
                <w:color w:val="FFFFFF" w:themeColor="background1"/>
                <w:lang w:val="sq-AL"/>
              </w:rPr>
              <w:t>Neto T</w:t>
            </w:r>
            <w:r w:rsidRPr="00570A78">
              <w:rPr>
                <w:color w:val="FFFFFF" w:themeColor="background1"/>
                <w:lang w:val="sq-AL"/>
              </w:rPr>
              <w:t>roškovi veleprodaje</w:t>
            </w:r>
          </w:p>
        </w:tc>
      </w:tr>
      <w:tr w:rsidR="0075093C" w:rsidRPr="00450894" w:rsidTr="007509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CC5249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CC5249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€000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3,724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127,844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124,133</w:t>
            </w:r>
          </w:p>
        </w:tc>
      </w:tr>
      <w:tr w:rsidR="0075093C" w:rsidRPr="00450894" w:rsidTr="007509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CC5249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CC5249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€000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3,471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119,160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115,700</w:t>
            </w:r>
          </w:p>
        </w:tc>
      </w:tr>
      <w:tr w:rsidR="0075093C" w:rsidRPr="00450894" w:rsidTr="007509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CC5249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CC5249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€000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3,521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120,899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117,367</w:t>
            </w:r>
          </w:p>
        </w:tc>
      </w:tr>
      <w:tr w:rsidR="0075093C" w:rsidRPr="00450894" w:rsidTr="0075093C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CC5249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CC5249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€000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3,795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130,298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126,500</w:t>
            </w:r>
          </w:p>
        </w:tc>
      </w:tr>
      <w:tr w:rsidR="0075093C" w:rsidRPr="00450894" w:rsidTr="007509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CC5249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CC5249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€000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4,730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162,396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157,667</w:t>
            </w:r>
          </w:p>
        </w:tc>
      </w:tr>
    </w:tbl>
    <w:p w:rsidR="00D80ABE" w:rsidRDefault="00D80ABE" w:rsidP="0075093C">
      <w:pPr>
        <w:pStyle w:val="Caption"/>
        <w:rPr>
          <w:lang w:val="sq-AL"/>
        </w:rPr>
      </w:pPr>
    </w:p>
    <w:p w:rsidR="00045B47" w:rsidRPr="00450894" w:rsidRDefault="0075093C" w:rsidP="00045B47">
      <w:pPr>
        <w:pStyle w:val="Caption"/>
        <w:rPr>
          <w:lang w:val="sq-AL"/>
        </w:rPr>
      </w:pPr>
      <w:r w:rsidRPr="00756146">
        <w:rPr>
          <w:lang w:val="sq-AL"/>
        </w:rPr>
        <w:t xml:space="preserve">Tabela  </w:t>
      </w:r>
      <w:r w:rsidRPr="00756146">
        <w:rPr>
          <w:lang w:val="sq-AL"/>
        </w:rPr>
        <w:fldChar w:fldCharType="begin"/>
      </w:r>
      <w:r w:rsidRPr="00756146">
        <w:rPr>
          <w:lang w:val="sq-AL"/>
        </w:rPr>
        <w:instrText xml:space="preserve"> SEQ Tabela_ \* ARABIC </w:instrText>
      </w:r>
      <w:r w:rsidRPr="00756146">
        <w:rPr>
          <w:lang w:val="sq-AL"/>
        </w:rPr>
        <w:fldChar w:fldCharType="separate"/>
      </w:r>
      <w:r w:rsidR="00AC532D">
        <w:rPr>
          <w:noProof/>
          <w:lang w:val="sq-AL"/>
        </w:rPr>
        <w:t>2</w:t>
      </w:r>
      <w:r w:rsidRPr="00756146">
        <w:rPr>
          <w:lang w:val="sq-AL"/>
        </w:rPr>
        <w:fldChar w:fldCharType="end"/>
      </w:r>
      <w:r w:rsidRPr="00756146">
        <w:rPr>
          <w:lang w:val="sq-AL"/>
        </w:rPr>
        <w:t xml:space="preserve"> </w:t>
      </w:r>
      <w:r w:rsidR="00045B47">
        <w:t>Maloprodajna Marža</w:t>
      </w:r>
    </w:p>
    <w:p w:rsidR="0075093C" w:rsidRPr="00756146" w:rsidRDefault="00045B47" w:rsidP="0075093C">
      <w:pPr>
        <w:pStyle w:val="Caption"/>
        <w:rPr>
          <w:lang w:val="sq-AL"/>
        </w:rPr>
      </w:pPr>
      <w:r>
        <w:t>Maloprodajna Marža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0"/>
        <w:gridCol w:w="927"/>
        <w:gridCol w:w="940"/>
      </w:tblGrid>
      <w:tr w:rsidR="0075093C" w:rsidRPr="00450894" w:rsidTr="007509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4E79" w:themeFill="accent1" w:themeFillShade="80"/>
            <w:noWrap/>
            <w:vAlign w:val="center"/>
            <w:hideMark/>
          </w:tcPr>
          <w:p w:rsidR="0075093C" w:rsidRPr="00B26335" w:rsidRDefault="00D71B4B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  <w:t>Izra</w:t>
            </w:r>
            <w:r>
              <w:rPr>
                <w:rFonts w:ascii="Calibri" w:eastAsia="Times New Roman" w:hAnsi="Calibri" w:cs="Calibri"/>
                <w:color w:val="FFFFFF" w:themeColor="background1"/>
                <w:lang w:val="sq-AL" w:eastAsia="en-GB"/>
              </w:rPr>
              <w:t>č</w:t>
            </w:r>
            <w:r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  <w:t>uvanje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:rsidR="0075093C" w:rsidRPr="00B1408C" w:rsidRDefault="00D71B4B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  <w:t>Jedinica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4E79" w:themeFill="accent1" w:themeFillShade="80"/>
            <w:noWrap/>
            <w:vAlign w:val="center"/>
            <w:hideMark/>
          </w:tcPr>
          <w:p w:rsidR="0075093C" w:rsidRPr="00450894" w:rsidRDefault="00D71B4B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  <w:t>Koli</w:t>
            </w:r>
            <w:r>
              <w:rPr>
                <w:rFonts w:ascii="Calibri" w:eastAsia="Times New Roman" w:hAnsi="Calibri" w:cs="Calibri"/>
                <w:color w:val="FFFFFF" w:themeColor="background1"/>
                <w:lang w:val="sq-AL" w:eastAsia="en-GB"/>
              </w:rPr>
              <w:t>č</w:t>
            </w:r>
            <w:r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  <w:t>ina</w:t>
            </w:r>
          </w:p>
        </w:tc>
      </w:tr>
      <w:tr w:rsidR="0075093C" w:rsidRPr="00450894" w:rsidTr="0075093C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CC5249" w:rsidRDefault="00D71B4B" w:rsidP="0075093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 xml:space="preserve">a) </w:t>
            </w:r>
            <w:r w:rsidRPr="00D71B4B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Prosečni troškovi marže</w:t>
            </w:r>
            <w:r w:rsidR="0075093C" w:rsidRPr="00CC5249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 xml:space="preserve"> 2017-2021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75093C" w:rsidRPr="00B26335" w:rsidRDefault="0075093C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€000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3,848</w:t>
            </w:r>
          </w:p>
        </w:tc>
      </w:tr>
      <w:tr w:rsidR="0075093C" w:rsidRPr="00450894" w:rsidTr="0075093C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093C" w:rsidRPr="00CC5249" w:rsidRDefault="00EB07F2" w:rsidP="00D71B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 xml:space="preserve">b) </w:t>
            </w:r>
            <w:r w:rsidR="00D71B4B" w:rsidRPr="00D71B4B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 xml:space="preserve">Trend marže u godini </w:t>
            </w:r>
            <w:r w:rsidR="0075093C" w:rsidRPr="00CC5249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75093C" w:rsidRPr="00B26335" w:rsidRDefault="0075093C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€000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093C" w:rsidRPr="00B1408C" w:rsidRDefault="0075093C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151,663</w:t>
            </w:r>
          </w:p>
        </w:tc>
      </w:tr>
      <w:tr w:rsidR="0075093C" w:rsidRPr="00450894" w:rsidTr="007509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E79" w:themeFill="accent1" w:themeFillShade="80"/>
            <w:noWrap/>
            <w:vAlign w:val="center"/>
            <w:hideMark/>
          </w:tcPr>
          <w:p w:rsidR="0075093C" w:rsidRPr="00CC5249" w:rsidRDefault="00D71B4B" w:rsidP="0075093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  <w:t>c= a/b Mar</w:t>
            </w:r>
            <w:r>
              <w:rPr>
                <w:rFonts w:ascii="Calibri" w:eastAsia="Times New Roman" w:hAnsi="Calibri" w:cs="Calibri"/>
                <w:color w:val="FFFFFF" w:themeColor="background1"/>
                <w:lang w:val="sq-AL" w:eastAsia="en-GB"/>
              </w:rPr>
              <w:t>ž</w:t>
            </w:r>
            <w:r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:rsidR="0075093C" w:rsidRPr="00B26335" w:rsidRDefault="0075093C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E79" w:themeFill="accent1" w:themeFillShade="80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FFFFFF" w:themeColor="background1"/>
                <w:lang w:val="sq-AL" w:eastAsia="en-GB"/>
              </w:rPr>
              <w:t>2.54%</w:t>
            </w:r>
          </w:p>
        </w:tc>
      </w:tr>
    </w:tbl>
    <w:p w:rsidR="0075093C" w:rsidRPr="00CC5249" w:rsidRDefault="0075093C" w:rsidP="0075093C">
      <w:pPr>
        <w:rPr>
          <w:lang w:val="sq-AL"/>
        </w:rPr>
      </w:pPr>
    </w:p>
    <w:p w:rsidR="0075093C" w:rsidRPr="00032EE0" w:rsidRDefault="00D71B4B" w:rsidP="00EB07F2">
      <w:pPr>
        <w:jc w:val="both"/>
        <w:rPr>
          <w:lang w:val="sq-AL"/>
        </w:rPr>
      </w:pPr>
      <w:r>
        <w:rPr>
          <w:lang w:val="sq-AL"/>
        </w:rPr>
        <w:t>RUE</w:t>
      </w:r>
      <w:r w:rsidR="0075093C" w:rsidRPr="00B26335">
        <w:rPr>
          <w:lang w:val="sq-AL"/>
        </w:rPr>
        <w:t xml:space="preserve"> </w:t>
      </w:r>
      <w:r w:rsidRPr="00D71B4B">
        <w:rPr>
          <w:lang w:val="sq-AL"/>
        </w:rPr>
        <w:t xml:space="preserve">predlaže da maloprodajna marža </w:t>
      </w:r>
      <w:r>
        <w:rPr>
          <w:lang w:val="sq-AL"/>
        </w:rPr>
        <w:t>se</w:t>
      </w:r>
      <w:r w:rsidRPr="00D71B4B">
        <w:rPr>
          <w:lang w:val="sq-AL"/>
        </w:rPr>
        <w:t xml:space="preserve"> primenjuje </w:t>
      </w:r>
      <w:r>
        <w:rPr>
          <w:lang w:val="sq-AL"/>
        </w:rPr>
        <w:t xml:space="preserve">u iznosu od 2,54% za period </w:t>
      </w:r>
      <w:r w:rsidR="0075093C" w:rsidRPr="00032EE0">
        <w:rPr>
          <w:lang w:val="sq-AL"/>
        </w:rPr>
        <w:t>2022-2024.</w:t>
      </w:r>
    </w:p>
    <w:p w:rsidR="0075093C" w:rsidRPr="00450894" w:rsidRDefault="00D71B4B" w:rsidP="0075093C">
      <w:pPr>
        <w:pStyle w:val="Heading2"/>
        <w:ind w:left="720"/>
        <w:rPr>
          <w:lang w:val="sq-AL"/>
        </w:rPr>
      </w:pPr>
      <w:r>
        <w:rPr>
          <w:lang w:val="sq-AL"/>
        </w:rPr>
        <w:t>Lo</w:t>
      </w:r>
      <w:r>
        <w:rPr>
          <w:rFonts w:cs="Calibri"/>
          <w:lang w:val="sq-AL"/>
        </w:rPr>
        <w:t>š</w:t>
      </w:r>
      <w:r>
        <w:rPr>
          <w:lang w:val="sq-AL"/>
        </w:rPr>
        <w:t xml:space="preserve"> Dug</w:t>
      </w:r>
    </w:p>
    <w:p w:rsidR="0075093C" w:rsidRPr="00450894" w:rsidRDefault="00D71B4B" w:rsidP="00EB07F2">
      <w:pPr>
        <w:jc w:val="both"/>
        <w:rPr>
          <w:lang w:val="sq-AL"/>
        </w:rPr>
      </w:pPr>
      <w:r>
        <w:rPr>
          <w:lang w:val="sq-AL"/>
        </w:rPr>
        <w:t>U Pravilniku o Prihodima SU</w:t>
      </w:r>
      <w:r w:rsidRPr="00D71B4B">
        <w:rPr>
          <w:lang w:val="sq-AL"/>
        </w:rPr>
        <w:t>U navodi se da će dozvoljene troškove lošeg duga odrediti Regulator prilikom određivanja ulaznih vrednosti i da će se izračunati primenom dozvoljenog nivoa lošeg duga u početnom obračunu MAR-a. Razlika između kon</w:t>
      </w:r>
      <w:r w:rsidR="00797EFF">
        <w:rPr>
          <w:lang w:val="sq-AL"/>
        </w:rPr>
        <w:t>ačnog MAR-a (koji uključuje izra</w:t>
      </w:r>
      <w:r w:rsidRPr="00D71B4B">
        <w:rPr>
          <w:lang w:val="sq-AL"/>
        </w:rPr>
        <w:t>čun lošeg duga) i početnog MAR-a predstavlja dozvoljene troškove lošeg duga za odgovarajuću godinu</w:t>
      </w:r>
      <w:r>
        <w:rPr>
          <w:lang w:val="sq-AL"/>
        </w:rPr>
        <w:t xml:space="preserve">. </w:t>
      </w:r>
    </w:p>
    <w:p w:rsidR="0075093C" w:rsidRPr="00450894" w:rsidRDefault="00D71B4B" w:rsidP="0075093C">
      <w:pPr>
        <w:pStyle w:val="Heading3"/>
        <w:rPr>
          <w:lang w:val="sq-AL"/>
        </w:rPr>
      </w:pPr>
      <w:bookmarkStart w:id="3" w:name="_Toc88226450"/>
      <w:r>
        <w:rPr>
          <w:lang w:val="sq-AL"/>
        </w:rPr>
        <w:t xml:space="preserve">Aplikacija </w:t>
      </w:r>
      <w:r w:rsidR="0075093C" w:rsidRPr="00450894">
        <w:rPr>
          <w:lang w:val="sq-AL"/>
        </w:rPr>
        <w:t>KESCO-</w:t>
      </w:r>
      <w:bookmarkEnd w:id="3"/>
      <w:r>
        <w:rPr>
          <w:lang w:val="sq-AL"/>
        </w:rPr>
        <w:t>a</w:t>
      </w:r>
    </w:p>
    <w:p w:rsidR="0075093C" w:rsidRPr="00450894" w:rsidRDefault="00D71B4B" w:rsidP="00EB07F2">
      <w:pPr>
        <w:jc w:val="both"/>
        <w:rPr>
          <w:lang w:val="sq-AL"/>
        </w:rPr>
      </w:pPr>
      <w:r w:rsidRPr="00D71B4B">
        <w:rPr>
          <w:lang w:val="sq-AL"/>
        </w:rPr>
        <w:t>Dozvoljavanje lošeg duga predstavlja procenat fakturisano</w:t>
      </w:r>
      <w:r>
        <w:rPr>
          <w:lang w:val="sq-AL"/>
        </w:rPr>
        <w:t>g prihoda koji KESCO, poput SUU-a</w:t>
      </w:r>
      <w:r w:rsidRPr="00D71B4B">
        <w:rPr>
          <w:lang w:val="sq-AL"/>
        </w:rPr>
        <w:t>, nije u mogućnosti da naplati zbog neplaćanja, bankrota potrošača</w:t>
      </w:r>
      <w:r>
        <w:rPr>
          <w:lang w:val="sq-AL"/>
        </w:rPr>
        <w:t>,</w:t>
      </w:r>
      <w:r w:rsidRPr="00D71B4B">
        <w:rPr>
          <w:lang w:val="sq-AL"/>
        </w:rPr>
        <w:t xml:space="preserve"> itd. Trenutni dodatak je postavljen na 4% dozvoljenih </w:t>
      </w:r>
      <w:r>
        <w:rPr>
          <w:lang w:val="sq-AL"/>
        </w:rPr>
        <w:t>prihoda, nivo koji se nije promenio</w:t>
      </w:r>
      <w:r w:rsidRPr="00D71B4B">
        <w:rPr>
          <w:lang w:val="sq-AL"/>
        </w:rPr>
        <w:t xml:space="preserve"> od 2015. godine.</w:t>
      </w:r>
    </w:p>
    <w:p w:rsidR="0075093C" w:rsidRPr="00EF4D5D" w:rsidRDefault="0075093C" w:rsidP="0075093C">
      <w:pPr>
        <w:rPr>
          <w:lang w:val="sq-AL"/>
        </w:rPr>
      </w:pPr>
      <w:r w:rsidRPr="00450894">
        <w:rPr>
          <w:lang w:val="sq-AL"/>
        </w:rPr>
        <w:t xml:space="preserve">KESCO </w:t>
      </w:r>
      <w:r w:rsidR="00D71B4B">
        <w:rPr>
          <w:lang w:val="sq-AL"/>
        </w:rPr>
        <w:t>tvrdi</w:t>
      </w:r>
      <w:r w:rsidR="00D71B4B" w:rsidRPr="00D71B4B">
        <w:rPr>
          <w:lang w:val="sq-AL"/>
        </w:rPr>
        <w:t xml:space="preserve"> povećanje ove naknade za period</w:t>
      </w:r>
      <w:r w:rsidR="00D71B4B">
        <w:rPr>
          <w:lang w:val="sq-AL"/>
        </w:rPr>
        <w:t xml:space="preserve"> 2022-2024 iz sledećih razloga</w:t>
      </w:r>
      <w:r w:rsidRPr="00EF4D5D">
        <w:rPr>
          <w:lang w:val="sq-AL"/>
        </w:rPr>
        <w:t>:</w:t>
      </w:r>
    </w:p>
    <w:p w:rsidR="0075093C" w:rsidRPr="00EF4D5D" w:rsidRDefault="0099152F" w:rsidP="0099152F">
      <w:pPr>
        <w:pStyle w:val="ListParagraph"/>
        <w:numPr>
          <w:ilvl w:val="0"/>
          <w:numId w:val="5"/>
        </w:numPr>
        <w:rPr>
          <w:lang w:val="sq-AL"/>
        </w:rPr>
      </w:pPr>
      <w:r w:rsidRPr="0099152F">
        <w:rPr>
          <w:lang w:val="sq-AL"/>
        </w:rPr>
        <w:lastRenderedPageBreak/>
        <w:t>Prema KESCO-u – istorijska stopa naplate koju koristi RUE potcenjuje trenutne loše dugove KESCO-a. Prema KESCO-u, greška koja je napravljena prilikom izračunavanja nivoa tekućih loših dugova je uzimanje u obzir svih prih</w:t>
      </w:r>
      <w:r>
        <w:rPr>
          <w:lang w:val="sq-AL"/>
        </w:rPr>
        <w:t>oda snabdevača. Važno je</w:t>
      </w:r>
      <w:r w:rsidR="00A21DD5">
        <w:rPr>
          <w:lang w:val="sq-AL"/>
        </w:rPr>
        <w:t xml:space="preserve"> </w:t>
      </w:r>
      <w:r w:rsidRPr="0099152F">
        <w:rPr>
          <w:lang w:val="sq-AL"/>
        </w:rPr>
        <w:t>pomenuti da KESCO kao licencirani snabdevač prihvata i plaćanja koja se ne odnose na fakturisanu energiju, dok je dozvoljeni nivo nenaplativih dugova dozvoljen na osnovu početnog M</w:t>
      </w:r>
      <w:r>
        <w:rPr>
          <w:lang w:val="sq-AL"/>
        </w:rPr>
        <w:t>AR-a i kao takav treba da se izračuna</w:t>
      </w:r>
      <w:r w:rsidR="00A21DD5">
        <w:rPr>
          <w:lang w:val="sq-AL"/>
        </w:rPr>
        <w:t xml:space="preserve"> samo u iznosu od fakturisane električne energije</w:t>
      </w:r>
      <w:r w:rsidRPr="0099152F">
        <w:rPr>
          <w:lang w:val="sq-AL"/>
        </w:rPr>
        <w:t xml:space="preserve"> za d</w:t>
      </w:r>
      <w:r>
        <w:rPr>
          <w:lang w:val="sq-AL"/>
        </w:rPr>
        <w:t>otičnu godinu. Prema izračunama</w:t>
      </w:r>
      <w:r w:rsidRPr="0099152F">
        <w:rPr>
          <w:lang w:val="sq-AL"/>
        </w:rPr>
        <w:t xml:space="preserve"> KESCO-a, prosečan loš dug u periodu 2017-2021 ispada 5,2%.</w:t>
      </w:r>
    </w:p>
    <w:p w:rsidR="0075093C" w:rsidRPr="00EF4D5D" w:rsidRDefault="0075093C" w:rsidP="0099152F">
      <w:pPr>
        <w:pStyle w:val="ListParagraph"/>
        <w:numPr>
          <w:ilvl w:val="0"/>
          <w:numId w:val="5"/>
        </w:numPr>
        <w:rPr>
          <w:lang w:val="sq-AL"/>
        </w:rPr>
      </w:pPr>
      <w:r w:rsidRPr="00EF4D5D">
        <w:rPr>
          <w:lang w:val="sq-AL"/>
        </w:rPr>
        <w:t xml:space="preserve">KESCO, </w:t>
      </w:r>
      <w:r w:rsidR="0099152F" w:rsidRPr="0099152F">
        <w:rPr>
          <w:lang w:val="sq-AL"/>
        </w:rPr>
        <w:t xml:space="preserve">je </w:t>
      </w:r>
      <w:r w:rsidR="0099152F">
        <w:rPr>
          <w:lang w:val="sq-AL"/>
        </w:rPr>
        <w:t>u svojoj proceni izbacio iz izra</w:t>
      </w:r>
      <w:r w:rsidR="0099152F" w:rsidRPr="0099152F">
        <w:rPr>
          <w:lang w:val="sq-AL"/>
        </w:rPr>
        <w:t>čuna potrošače 35kV i 10kV nivoa, za koje se očekuje da će se snabdevati neregulisanim tarifama od aprila 2022. Kao rezultat toga, KESCO tvrdi da će uticaj njihovog ulaska na tržište uticati na</w:t>
      </w:r>
      <w:r w:rsidR="0099152F">
        <w:rPr>
          <w:lang w:val="sq-AL"/>
        </w:rPr>
        <w:t xml:space="preserve"> povećanje nivo</w:t>
      </w:r>
      <w:r w:rsidR="008717E2">
        <w:rPr>
          <w:lang w:val="sq-AL"/>
        </w:rPr>
        <w:t>a</w:t>
      </w:r>
      <w:r w:rsidR="0099152F">
        <w:rPr>
          <w:lang w:val="sq-AL"/>
        </w:rPr>
        <w:t xml:space="preserve"> lošeg duga SUU-a</w:t>
      </w:r>
      <w:r w:rsidR="0099152F" w:rsidRPr="0099152F">
        <w:rPr>
          <w:lang w:val="sq-AL"/>
        </w:rPr>
        <w:t>, ne pružajući konkretnu procenu ovog uticaja</w:t>
      </w:r>
      <w:r w:rsidR="0099152F">
        <w:rPr>
          <w:lang w:val="sq-AL"/>
        </w:rPr>
        <w:t>.</w:t>
      </w:r>
    </w:p>
    <w:p w:rsidR="0075093C" w:rsidRPr="00EF4D5D" w:rsidRDefault="0099152F" w:rsidP="0099152F">
      <w:pPr>
        <w:pStyle w:val="ListParagraph"/>
        <w:numPr>
          <w:ilvl w:val="0"/>
          <w:numId w:val="5"/>
        </w:numPr>
        <w:rPr>
          <w:lang w:val="sq-AL"/>
        </w:rPr>
      </w:pPr>
      <w:r w:rsidRPr="0099152F">
        <w:rPr>
          <w:lang w:val="sq-AL"/>
        </w:rPr>
        <w:t>Iako ih KESCO nije uzeo u obzir prilikom procene lošeg duga, ističe se da postoji još nekoliko faktora koji bi mogli da utiču na pov</w:t>
      </w:r>
      <w:r>
        <w:rPr>
          <w:lang w:val="sq-AL"/>
        </w:rPr>
        <w:t>ećanje nivoa lošeg duga za SUU</w:t>
      </w:r>
      <w:r w:rsidRPr="0099152F">
        <w:rPr>
          <w:lang w:val="sq-AL"/>
        </w:rPr>
        <w:t xml:space="preserve">, gde su navedeni: eventualno </w:t>
      </w:r>
      <w:r>
        <w:rPr>
          <w:lang w:val="sq-AL"/>
        </w:rPr>
        <w:t>povećanje cena za krajnje potro</w:t>
      </w:r>
      <w:r>
        <w:rPr>
          <w:rFonts w:cs="Calibri"/>
          <w:lang w:val="sq-AL"/>
        </w:rPr>
        <w:t>š</w:t>
      </w:r>
      <w:r>
        <w:rPr>
          <w:lang w:val="sq-AL"/>
        </w:rPr>
        <w:t>a</w:t>
      </w:r>
      <w:r>
        <w:rPr>
          <w:rFonts w:cs="Calibri"/>
          <w:lang w:val="sq-AL"/>
        </w:rPr>
        <w:t>ć</w:t>
      </w:r>
      <w:r>
        <w:rPr>
          <w:lang w:val="sq-AL"/>
        </w:rPr>
        <w:t>e</w:t>
      </w:r>
      <w:r w:rsidR="00094217">
        <w:rPr>
          <w:lang w:val="sq-AL"/>
        </w:rPr>
        <w:t>, kao rezultat pove</w:t>
      </w:r>
      <w:r w:rsidR="00094217">
        <w:rPr>
          <w:rFonts w:cs="Calibri"/>
          <w:lang w:val="sq-AL"/>
        </w:rPr>
        <w:t>ć</w:t>
      </w:r>
      <w:r w:rsidR="00094217">
        <w:rPr>
          <w:lang w:val="sq-AL"/>
        </w:rPr>
        <w:t>anja</w:t>
      </w:r>
      <w:r>
        <w:rPr>
          <w:lang w:val="sq-AL"/>
        </w:rPr>
        <w:t xml:space="preserve"> cena na veleprodajnim tr</w:t>
      </w:r>
      <w:r>
        <w:rPr>
          <w:rFonts w:cs="Calibri"/>
          <w:lang w:val="sq-AL"/>
        </w:rPr>
        <w:t>ž</w:t>
      </w:r>
      <w:r>
        <w:rPr>
          <w:lang w:val="sq-AL"/>
        </w:rPr>
        <w:t>i</w:t>
      </w:r>
      <w:r>
        <w:rPr>
          <w:rFonts w:cs="Calibri"/>
          <w:lang w:val="sq-AL"/>
        </w:rPr>
        <w:t>š</w:t>
      </w:r>
      <w:r>
        <w:rPr>
          <w:lang w:val="sq-AL"/>
        </w:rPr>
        <w:t>tima</w:t>
      </w:r>
      <w:r w:rsidRPr="0099152F">
        <w:rPr>
          <w:lang w:val="sq-AL"/>
        </w:rPr>
        <w:t xml:space="preserve">, remonta TE Kosovo B, eventualne deregulacije </w:t>
      </w:r>
      <w:r>
        <w:rPr>
          <w:lang w:val="sq-AL"/>
        </w:rPr>
        <w:t>priključenih potro</w:t>
      </w:r>
      <w:r>
        <w:rPr>
          <w:rFonts w:cs="Calibri"/>
          <w:lang w:val="sq-AL"/>
        </w:rPr>
        <w:t>š</w:t>
      </w:r>
      <w:r>
        <w:rPr>
          <w:lang w:val="sq-AL"/>
        </w:rPr>
        <w:t>a</w:t>
      </w:r>
      <w:r>
        <w:rPr>
          <w:rFonts w:cs="Calibri"/>
          <w:lang w:val="sq-AL"/>
        </w:rPr>
        <w:t>ć</w:t>
      </w:r>
      <w:r>
        <w:rPr>
          <w:lang w:val="sq-AL"/>
        </w:rPr>
        <w:t>a</w:t>
      </w:r>
      <w:r w:rsidRPr="0099152F">
        <w:rPr>
          <w:lang w:val="sq-AL"/>
        </w:rPr>
        <w:t xml:space="preserve"> na nivou od 0,4kV i mogućnosti promene snabdevača i</w:t>
      </w:r>
      <w:r>
        <w:rPr>
          <w:lang w:val="sq-AL"/>
        </w:rPr>
        <w:t xml:space="preserve"> vraćanja na SUU, što bi potro</w:t>
      </w:r>
      <w:r>
        <w:rPr>
          <w:rFonts w:cs="Calibri"/>
          <w:lang w:val="sq-AL"/>
        </w:rPr>
        <w:t>š</w:t>
      </w:r>
      <w:r>
        <w:rPr>
          <w:lang w:val="sq-AL"/>
        </w:rPr>
        <w:t>a</w:t>
      </w:r>
      <w:r>
        <w:rPr>
          <w:rFonts w:cs="Calibri"/>
          <w:lang w:val="sq-AL"/>
        </w:rPr>
        <w:t>ć</w:t>
      </w:r>
      <w:r>
        <w:rPr>
          <w:lang w:val="sq-AL"/>
        </w:rPr>
        <w:t>i</w:t>
      </w:r>
      <w:r w:rsidRPr="0099152F">
        <w:rPr>
          <w:lang w:val="sq-AL"/>
        </w:rPr>
        <w:t xml:space="preserve"> mo</w:t>
      </w:r>
      <w:r>
        <w:rPr>
          <w:lang w:val="sq-AL"/>
        </w:rPr>
        <w:t>gli</w:t>
      </w:r>
      <w:r w:rsidR="00094217">
        <w:rPr>
          <w:lang w:val="sq-AL"/>
        </w:rPr>
        <w:t xml:space="preserve"> da</w:t>
      </w:r>
      <w:r>
        <w:rPr>
          <w:lang w:val="sq-AL"/>
        </w:rPr>
        <w:t xml:space="preserve"> zloupo</w:t>
      </w:r>
      <w:r w:rsidR="00094217">
        <w:rPr>
          <w:lang w:val="sq-AL"/>
        </w:rPr>
        <w:t xml:space="preserve">trebe </w:t>
      </w:r>
      <w:r w:rsidRPr="0099152F">
        <w:rPr>
          <w:lang w:val="sq-AL"/>
        </w:rPr>
        <w:t xml:space="preserve">kao u zemljama koje su prošle </w:t>
      </w:r>
      <w:r>
        <w:rPr>
          <w:lang w:val="sq-AL"/>
        </w:rPr>
        <w:t xml:space="preserve">ranije </w:t>
      </w:r>
      <w:r w:rsidRPr="0099152F">
        <w:rPr>
          <w:lang w:val="sq-AL"/>
        </w:rPr>
        <w:t>kroz ovaj proces.</w:t>
      </w:r>
    </w:p>
    <w:p w:rsidR="0075093C" w:rsidRPr="00B26335" w:rsidRDefault="0099152F" w:rsidP="00EB07F2">
      <w:pPr>
        <w:jc w:val="both"/>
        <w:rPr>
          <w:lang w:val="sq-AL"/>
        </w:rPr>
      </w:pPr>
      <w:r w:rsidRPr="0099152F">
        <w:rPr>
          <w:lang w:val="sq-AL"/>
        </w:rPr>
        <w:t>Rezultujući predlog KESCO-a da se dozvoli loš dug za trogodišnji tarifni period 2022-2024 je prikazan ispod</w:t>
      </w:r>
      <w:r w:rsidR="0075093C" w:rsidRPr="00B26335">
        <w:rPr>
          <w:lang w:val="sq-AL"/>
        </w:rPr>
        <w:t>.</w:t>
      </w:r>
    </w:p>
    <w:p w:rsidR="0075093C" w:rsidRPr="00B1408C" w:rsidRDefault="0075093C" w:rsidP="0075093C">
      <w:pPr>
        <w:pStyle w:val="Caption"/>
        <w:rPr>
          <w:lang w:val="sq-AL"/>
        </w:rPr>
      </w:pPr>
      <w:r>
        <w:t xml:space="preserve">Tabela  </w:t>
      </w:r>
      <w:r>
        <w:fldChar w:fldCharType="begin"/>
      </w:r>
      <w:r>
        <w:instrText xml:space="preserve"> SEQ Tabela_ \* ARABIC </w:instrText>
      </w:r>
      <w:r>
        <w:fldChar w:fldCharType="separate"/>
      </w:r>
      <w:r w:rsidR="00AC532D">
        <w:rPr>
          <w:noProof/>
        </w:rPr>
        <w:t>3</w:t>
      </w:r>
      <w:r>
        <w:fldChar w:fldCharType="end"/>
      </w:r>
      <w:r>
        <w:t xml:space="preserve"> </w:t>
      </w:r>
      <w:r w:rsidR="0099152F">
        <w:t>Zahtev SUU-a</w:t>
      </w:r>
      <w:r w:rsidR="0099152F" w:rsidRPr="0099152F">
        <w:t xml:space="preserve"> za dozvoljeni nivo loših dugova</w:t>
      </w:r>
    </w:p>
    <w:tbl>
      <w:tblPr>
        <w:tblW w:w="4276" w:type="pct"/>
        <w:tblBorders>
          <w:bottom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95"/>
        <w:gridCol w:w="1071"/>
        <w:gridCol w:w="1071"/>
        <w:gridCol w:w="1068"/>
      </w:tblGrid>
      <w:tr w:rsidR="0075093C" w:rsidRPr="00450894" w:rsidTr="0075093C">
        <w:trPr>
          <w:trHeight w:val="552"/>
          <w:tblHeader/>
        </w:trPr>
        <w:tc>
          <w:tcPr>
            <w:tcW w:w="2995" w:type="pct"/>
            <w:shd w:val="clear" w:color="000000" w:fill="003366"/>
            <w:noWrap/>
            <w:vAlign w:val="center"/>
          </w:tcPr>
          <w:p w:rsidR="0075093C" w:rsidRPr="00450894" w:rsidRDefault="0099152F" w:rsidP="0099152F">
            <w:pPr>
              <w:keepNext/>
              <w:spacing w:before="60" w:after="6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sq-AL"/>
              </w:rPr>
            </w:pPr>
            <w:r>
              <w:rPr>
                <w:lang w:val="sq-AL"/>
              </w:rPr>
              <w:t xml:space="preserve">Zahtev </w:t>
            </w:r>
            <w:r w:rsidRPr="0099152F">
              <w:rPr>
                <w:lang w:val="sq-AL"/>
              </w:rPr>
              <w:t xml:space="preserve"> za dozvoljeni nivo loših dugova</w:t>
            </w:r>
            <w:r w:rsidR="0075093C" w:rsidRPr="00450894">
              <w:rPr>
                <w:lang w:val="sq-AL"/>
              </w:rPr>
              <w:t xml:space="preserve"> </w:t>
            </w:r>
          </w:p>
        </w:tc>
        <w:tc>
          <w:tcPr>
            <w:tcW w:w="669" w:type="pct"/>
            <w:shd w:val="clear" w:color="000000" w:fill="003366"/>
            <w:noWrap/>
            <w:vAlign w:val="center"/>
          </w:tcPr>
          <w:p w:rsidR="0075093C" w:rsidRPr="00450894" w:rsidRDefault="0075093C" w:rsidP="0075093C">
            <w:pPr>
              <w:keepNext/>
              <w:spacing w:before="60" w:after="6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val="sq-AL"/>
              </w:rPr>
            </w:pPr>
            <w:r w:rsidRPr="00450894">
              <w:rPr>
                <w:rFonts w:eastAsia="Times New Roman" w:cstheme="minorHAnsi"/>
                <w:color w:val="FFFFFF"/>
                <w:sz w:val="20"/>
                <w:szCs w:val="20"/>
                <w:lang w:val="sq-AL"/>
              </w:rPr>
              <w:t>2022</w:t>
            </w:r>
          </w:p>
        </w:tc>
        <w:tc>
          <w:tcPr>
            <w:tcW w:w="669" w:type="pct"/>
            <w:shd w:val="clear" w:color="000000" w:fill="003366"/>
            <w:noWrap/>
            <w:vAlign w:val="center"/>
          </w:tcPr>
          <w:p w:rsidR="0075093C" w:rsidRPr="00450894" w:rsidRDefault="0075093C" w:rsidP="0075093C">
            <w:pPr>
              <w:keepNext/>
              <w:spacing w:before="60" w:after="6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val="sq-AL"/>
              </w:rPr>
            </w:pPr>
            <w:r w:rsidRPr="00450894">
              <w:rPr>
                <w:rFonts w:eastAsia="Times New Roman" w:cstheme="minorHAnsi"/>
                <w:color w:val="FFFFFF"/>
                <w:sz w:val="20"/>
                <w:szCs w:val="20"/>
                <w:lang w:val="sq-AL"/>
              </w:rPr>
              <w:t>2023</w:t>
            </w:r>
          </w:p>
        </w:tc>
        <w:tc>
          <w:tcPr>
            <w:tcW w:w="668" w:type="pct"/>
            <w:shd w:val="clear" w:color="000000" w:fill="003366"/>
            <w:noWrap/>
            <w:vAlign w:val="center"/>
          </w:tcPr>
          <w:p w:rsidR="0075093C" w:rsidRPr="00450894" w:rsidRDefault="0075093C" w:rsidP="0075093C">
            <w:pPr>
              <w:keepNext/>
              <w:spacing w:before="60" w:after="6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val="sq-AL"/>
              </w:rPr>
            </w:pPr>
            <w:r w:rsidRPr="00450894">
              <w:rPr>
                <w:rFonts w:eastAsia="Times New Roman" w:cstheme="minorHAnsi"/>
                <w:color w:val="FFFFFF"/>
                <w:sz w:val="20"/>
                <w:szCs w:val="20"/>
                <w:lang w:val="sq-AL"/>
              </w:rPr>
              <w:t>2024</w:t>
            </w:r>
          </w:p>
        </w:tc>
      </w:tr>
      <w:tr w:rsidR="0075093C" w:rsidRPr="00450894" w:rsidTr="0075093C">
        <w:trPr>
          <w:trHeight w:val="288"/>
        </w:trPr>
        <w:tc>
          <w:tcPr>
            <w:tcW w:w="2995" w:type="pct"/>
            <w:shd w:val="clear" w:color="auto" w:fill="DEEAF6" w:themeFill="accent1" w:themeFillTint="33"/>
            <w:noWrap/>
            <w:vAlign w:val="center"/>
            <w:hideMark/>
          </w:tcPr>
          <w:p w:rsidR="0075093C" w:rsidRPr="00CC5249" w:rsidRDefault="0099152F" w:rsidP="0075093C">
            <w:pPr>
              <w:keepNext/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q-AL"/>
              </w:rPr>
            </w:pPr>
            <w:r w:rsidRPr="0099152F">
              <w:rPr>
                <w:rFonts w:eastAsia="Times New Roman" w:cstheme="minorHAnsi"/>
                <w:color w:val="000000"/>
                <w:sz w:val="20"/>
                <w:szCs w:val="20"/>
                <w:lang w:val="sq-AL"/>
              </w:rPr>
              <w:t>Predlog za loš dug</w:t>
            </w:r>
          </w:p>
        </w:tc>
        <w:tc>
          <w:tcPr>
            <w:tcW w:w="669" w:type="pct"/>
            <w:shd w:val="clear" w:color="auto" w:fill="DEEAF6" w:themeFill="accent1" w:themeFillTint="33"/>
            <w:noWrap/>
            <w:vAlign w:val="center"/>
          </w:tcPr>
          <w:p w:rsidR="0075093C" w:rsidRPr="00B26335" w:rsidRDefault="0075093C" w:rsidP="0075093C">
            <w:pPr>
              <w:keepNext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/>
              </w:rPr>
            </w:pPr>
            <w:r w:rsidRPr="00B26335">
              <w:rPr>
                <w:rFonts w:eastAsia="Times New Roman" w:cstheme="minorHAnsi"/>
                <w:color w:val="000000"/>
                <w:sz w:val="20"/>
                <w:szCs w:val="20"/>
                <w:lang w:val="sq-AL"/>
              </w:rPr>
              <w:t>5.2%</w:t>
            </w:r>
          </w:p>
        </w:tc>
        <w:tc>
          <w:tcPr>
            <w:tcW w:w="669" w:type="pct"/>
            <w:shd w:val="clear" w:color="auto" w:fill="DEEAF6" w:themeFill="accent1" w:themeFillTint="33"/>
            <w:noWrap/>
            <w:vAlign w:val="center"/>
          </w:tcPr>
          <w:p w:rsidR="0075093C" w:rsidRPr="00B1408C" w:rsidRDefault="0075093C" w:rsidP="0075093C">
            <w:pPr>
              <w:keepNext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/>
              </w:rPr>
            </w:pPr>
            <w:r w:rsidRPr="00B1408C">
              <w:rPr>
                <w:rFonts w:eastAsia="Times New Roman" w:cstheme="minorHAnsi"/>
                <w:color w:val="000000"/>
                <w:sz w:val="20"/>
                <w:szCs w:val="20"/>
                <w:lang w:val="sq-AL"/>
              </w:rPr>
              <w:t>4.8%</w:t>
            </w:r>
          </w:p>
        </w:tc>
        <w:tc>
          <w:tcPr>
            <w:tcW w:w="668" w:type="pct"/>
            <w:shd w:val="clear" w:color="auto" w:fill="DEEAF6" w:themeFill="accent1" w:themeFillTint="33"/>
            <w:noWrap/>
            <w:vAlign w:val="center"/>
          </w:tcPr>
          <w:p w:rsidR="0075093C" w:rsidRPr="00450894" w:rsidRDefault="0075093C" w:rsidP="0075093C">
            <w:pPr>
              <w:keepNext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eastAsia="Times New Roman" w:cstheme="minorHAnsi"/>
                <w:color w:val="000000"/>
                <w:sz w:val="20"/>
                <w:szCs w:val="20"/>
                <w:lang w:val="sq-AL"/>
              </w:rPr>
              <w:t>4.6%</w:t>
            </w:r>
          </w:p>
        </w:tc>
      </w:tr>
    </w:tbl>
    <w:p w:rsidR="0075093C" w:rsidRPr="00CC5249" w:rsidRDefault="0099152F" w:rsidP="0075093C">
      <w:pPr>
        <w:rPr>
          <w:color w:val="A5A5A5" w:themeColor="accent3"/>
          <w:sz w:val="18"/>
          <w:szCs w:val="18"/>
          <w:lang w:val="sq-AL"/>
        </w:rPr>
      </w:pPr>
      <w:r>
        <w:rPr>
          <w:color w:val="A5A5A5" w:themeColor="accent3"/>
          <w:sz w:val="18"/>
          <w:szCs w:val="18"/>
          <w:lang w:val="sq-AL"/>
        </w:rPr>
        <w:t>I</w:t>
      </w:r>
      <w:r w:rsidR="00A320DB">
        <w:rPr>
          <w:color w:val="A5A5A5" w:themeColor="accent3"/>
          <w:sz w:val="18"/>
          <w:szCs w:val="18"/>
          <w:lang w:val="sq-AL"/>
        </w:rPr>
        <w:t>zvor</w:t>
      </w:r>
      <w:r w:rsidR="0075093C" w:rsidRPr="00CC5249">
        <w:rPr>
          <w:color w:val="A5A5A5" w:themeColor="accent3"/>
          <w:sz w:val="18"/>
          <w:szCs w:val="18"/>
          <w:lang w:val="sq-AL"/>
        </w:rPr>
        <w:t>: KESCO</w:t>
      </w:r>
    </w:p>
    <w:p w:rsidR="0075093C" w:rsidRPr="00EF4D5D" w:rsidRDefault="008453A5" w:rsidP="008453A5">
      <w:pPr>
        <w:pStyle w:val="Heading3"/>
      </w:pPr>
      <w:bookmarkStart w:id="4" w:name="_Toc88226451"/>
      <w:r>
        <w:rPr>
          <w:lang w:val="sq-AL"/>
        </w:rPr>
        <w:t>Razmatranje i predlog RUE-a u vezi dozvoljenja</w:t>
      </w:r>
      <w:r w:rsidRPr="008453A5">
        <w:rPr>
          <w:lang w:val="sq-AL"/>
        </w:rPr>
        <w:t xml:space="preserve"> lošeg duga </w:t>
      </w:r>
      <w:bookmarkEnd w:id="4"/>
    </w:p>
    <w:p w:rsidR="0075093C" w:rsidRPr="00450894" w:rsidRDefault="008453A5" w:rsidP="00EB07F2">
      <w:pPr>
        <w:jc w:val="both"/>
        <w:rPr>
          <w:lang w:val="sq-AL"/>
        </w:rPr>
      </w:pPr>
      <w:r w:rsidRPr="008453A5">
        <w:rPr>
          <w:lang w:val="sq-AL"/>
        </w:rPr>
        <w:t>Argument KESCO-a da se naknada za loše dugove treba izračunati pozivajući se samo na račune za energiju je tačan u</w:t>
      </w:r>
      <w:r>
        <w:rPr>
          <w:lang w:val="sq-AL"/>
        </w:rPr>
        <w:t>toliko što računi za usluge treba da budu isključeni iz izra</w:t>
      </w:r>
      <w:r w:rsidRPr="008453A5">
        <w:rPr>
          <w:lang w:val="sq-AL"/>
        </w:rPr>
        <w:t xml:space="preserve">čuna kao preneseni prihod, </w:t>
      </w:r>
      <w:r w:rsidR="00A320DB">
        <w:rPr>
          <w:lang w:val="sq-AL"/>
        </w:rPr>
        <w:t xml:space="preserve">ali ne i za </w:t>
      </w:r>
      <w:r w:rsidR="00A320DB" w:rsidRPr="00A320DB">
        <w:rPr>
          <w:lang w:val="sq-AL"/>
        </w:rPr>
        <w:t>potraživanja</w:t>
      </w:r>
      <w:r w:rsidR="00A57E26">
        <w:rPr>
          <w:lang w:val="sq-AL"/>
        </w:rPr>
        <w:t xml:space="preserve"> izvršene procesom izvršenja</w:t>
      </w:r>
      <w:r w:rsidR="0075093C" w:rsidRPr="00450894">
        <w:rPr>
          <w:lang w:val="sq-AL"/>
        </w:rPr>
        <w:t>.</w:t>
      </w:r>
    </w:p>
    <w:p w:rsidR="0075093C" w:rsidRPr="00EF4D5D" w:rsidRDefault="00A57E26" w:rsidP="0075093C">
      <w:pPr>
        <w:pStyle w:val="Heading4"/>
        <w:spacing w:after="240"/>
        <w:rPr>
          <w:lang w:val="sq-AL"/>
        </w:rPr>
      </w:pPr>
      <w:r>
        <w:t>Uticaj Smanjenja Vred</w:t>
      </w:r>
      <w:r w:rsidR="00CF0E05">
        <w:t>n</w:t>
      </w:r>
      <w:r>
        <w:t xml:space="preserve">osti </w:t>
      </w:r>
      <w:hyperlink w:anchor="_Toc88226452" w:history="1">
        <w:r w:rsidRPr="00DE3D72">
          <w:t>Potraživanja</w:t>
        </w:r>
        <w:r>
          <w:rPr>
            <w:noProof/>
            <w:webHidden/>
          </w:rPr>
          <w:tab/>
        </w:r>
      </w:hyperlink>
    </w:p>
    <w:p w:rsidR="0075093C" w:rsidRPr="00EF4D5D" w:rsidRDefault="00A57E26" w:rsidP="00EB07F2">
      <w:pPr>
        <w:jc w:val="both"/>
        <w:rPr>
          <w:lang w:val="sq-AL"/>
        </w:rPr>
      </w:pPr>
      <w:r w:rsidRPr="00A57E26">
        <w:rPr>
          <w:lang w:val="sq-AL"/>
        </w:rPr>
        <w:t>Pre svega, u vezi sa ni</w:t>
      </w:r>
      <w:r w:rsidR="00D84DDB">
        <w:rPr>
          <w:lang w:val="sq-AL"/>
        </w:rPr>
        <w:t>voom lošeg duga, treba objasniti</w:t>
      </w:r>
      <w:r w:rsidRPr="00A57E26">
        <w:rPr>
          <w:lang w:val="sq-AL"/>
        </w:rPr>
        <w:t xml:space="preserve"> da se nenaplata ne može smatrati celim nenaplativim dugom, jer može doći do kašnjenja u naplati, ali ne ispostavlja se da sve ovo nenaplata ostaje loš dug. U tu svrhu, RUE je zatražio podatke od KESCO-a u v</w:t>
      </w:r>
      <w:r w:rsidR="00BD3A53">
        <w:rPr>
          <w:lang w:val="sq-AL"/>
        </w:rPr>
        <w:t>ezi sa Gubitkom /Smanjenjem P</w:t>
      </w:r>
      <w:r w:rsidRPr="00A57E26">
        <w:rPr>
          <w:lang w:val="sq-AL"/>
        </w:rPr>
        <w:t>otraživanja (RNVLlA), i analizirao je finansijske izveštaje KESCO-a, koji takođe odražavaju stavke koje se odnose na obezvređenje potraživanja.</w:t>
      </w:r>
      <w:r w:rsidR="0075093C" w:rsidRPr="00EF4D5D">
        <w:rPr>
          <w:lang w:val="sq-AL"/>
        </w:rPr>
        <w:t xml:space="preserve"> </w:t>
      </w:r>
    </w:p>
    <w:p w:rsidR="00CF0E05" w:rsidRDefault="00CF0E05" w:rsidP="00EB07F2">
      <w:pPr>
        <w:jc w:val="both"/>
        <w:rPr>
          <w:lang w:val="sq-AL"/>
        </w:rPr>
      </w:pPr>
    </w:p>
    <w:p w:rsidR="00CF0E05" w:rsidRDefault="00CF0E05" w:rsidP="00EB07F2">
      <w:pPr>
        <w:jc w:val="both"/>
        <w:rPr>
          <w:lang w:val="sq-AL"/>
        </w:rPr>
      </w:pPr>
    </w:p>
    <w:p w:rsidR="0075093C" w:rsidRDefault="00CF0E05" w:rsidP="00CF0E05">
      <w:pPr>
        <w:jc w:val="both"/>
        <w:rPr>
          <w:lang w:val="sq-AL"/>
        </w:rPr>
      </w:pPr>
      <w:r w:rsidRPr="00CF0E05">
        <w:rPr>
          <w:lang w:val="sq-AL"/>
        </w:rPr>
        <w:t xml:space="preserve">Tokom ove dve godine usled pandemije COVID-19, ekonomska kriza je zahvatila ceo svet, a samim tim i Kosovo. Shodno tome, ova kriza je </w:t>
      </w:r>
      <w:r>
        <w:rPr>
          <w:lang w:val="sq-AL"/>
        </w:rPr>
        <w:t>pogodila i porodice i kompanije</w:t>
      </w:r>
      <w:r w:rsidRPr="00CF0E05">
        <w:rPr>
          <w:lang w:val="sq-AL"/>
        </w:rPr>
        <w:t xml:space="preserve"> koji su u ovom periodu imali poteškoća u ispunjavanju obaveza prema javnim uslugama i otplati kredita.</w:t>
      </w:r>
      <w:r>
        <w:rPr>
          <w:lang w:val="sq-AL"/>
        </w:rPr>
        <w:t xml:space="preserve"> </w:t>
      </w:r>
    </w:p>
    <w:p w:rsidR="0075093C" w:rsidRDefault="00CF0E05" w:rsidP="00EB07F2">
      <w:pPr>
        <w:jc w:val="both"/>
        <w:rPr>
          <w:lang w:val="sq-AL"/>
        </w:rPr>
      </w:pPr>
      <w:r w:rsidRPr="00CF0E05">
        <w:rPr>
          <w:lang w:val="sq-AL"/>
        </w:rPr>
        <w:t>Iz analize istorijskih podataka koje je dostavio KESCO, i finansijskih izveštaj</w:t>
      </w:r>
      <w:r>
        <w:rPr>
          <w:lang w:val="sq-AL"/>
        </w:rPr>
        <w:t>a za period 2017-2021, Smanjenje Vrednosti P</w:t>
      </w:r>
      <w:r w:rsidRPr="00CF0E05">
        <w:rPr>
          <w:lang w:val="sq-AL"/>
        </w:rPr>
        <w:t>otraživanja u proseku za ceo period iznosi 1,7%. Pored toga, RUE je u svojo</w:t>
      </w:r>
      <w:r>
        <w:rPr>
          <w:lang w:val="sq-AL"/>
        </w:rPr>
        <w:t>j analiz</w:t>
      </w:r>
      <w:r w:rsidR="006E7634">
        <w:rPr>
          <w:lang w:val="sq-AL"/>
        </w:rPr>
        <w:t>iranju</w:t>
      </w:r>
      <w:r>
        <w:rPr>
          <w:lang w:val="sq-AL"/>
        </w:rPr>
        <w:t xml:space="preserve"> uzeo u obzir ne-znanje</w:t>
      </w:r>
      <w:r w:rsidRPr="00CF0E05">
        <w:rPr>
          <w:lang w:val="sq-AL"/>
        </w:rPr>
        <w:t xml:space="preserve"> u vezi sa budućom situacijom COVID-19 na Kosovu iu svetu, njeno eventualno pogoršanje može imati negativan uticaj na naplatu. Dakle, RUE je u proceni lošeg duga za 2022. godinu kao početnu vrednost, uzeo u obzir kritične tačke obezvređenja potraživanja za period 2020-2021.</w:t>
      </w:r>
      <w:r w:rsidR="0075093C" w:rsidRPr="00450894">
        <w:rPr>
          <w:lang w:val="sq-AL"/>
        </w:rPr>
        <w:t xml:space="preserve"> </w:t>
      </w:r>
    </w:p>
    <w:p w:rsidR="0075093C" w:rsidRDefault="00CF0E05" w:rsidP="00EB07F2">
      <w:pPr>
        <w:jc w:val="both"/>
        <w:rPr>
          <w:lang w:val="sq-AL"/>
        </w:rPr>
      </w:pPr>
      <w:r w:rsidRPr="00CF0E05">
        <w:rPr>
          <w:lang w:val="sq-AL"/>
        </w:rPr>
        <w:t>Pretpos</w:t>
      </w:r>
      <w:r>
        <w:rPr>
          <w:lang w:val="sq-AL"/>
        </w:rPr>
        <w:t>tavljajući očekivanja za nivo Smanjenja Vrednosti P</w:t>
      </w:r>
      <w:r w:rsidRPr="00CF0E05">
        <w:rPr>
          <w:lang w:val="sq-AL"/>
        </w:rPr>
        <w:t xml:space="preserve">otraživanja za 2021. godinu, RUE je uzeo ostvareni nivo za osam (8) meseci i zatim ga konvertovao u godišnju vrednost (3,3 * 12/8). Pokazalo se da je prosek RNVLlA za 2020-2021 2,21%. Ovaj nivo omogućava izbegavanje eventualne nepredvidivosti s jedne strane, a sa druge je preventivna mera </w:t>
      </w:r>
      <w:r>
        <w:rPr>
          <w:lang w:val="sq-AL"/>
        </w:rPr>
        <w:t>za stabilnost i likvidnost SUU-a.</w:t>
      </w:r>
      <w:r w:rsidR="0075093C" w:rsidRPr="00450894">
        <w:rPr>
          <w:lang w:val="sq-AL"/>
        </w:rPr>
        <w:t xml:space="preserve"> </w:t>
      </w:r>
    </w:p>
    <w:p w:rsidR="0075093C" w:rsidRPr="00EF4D5D" w:rsidRDefault="004A055E" w:rsidP="0075093C">
      <w:pPr>
        <w:pStyle w:val="Heading4"/>
        <w:spacing w:after="240"/>
        <w:rPr>
          <w:lang w:val="sq-AL"/>
        </w:rPr>
      </w:pPr>
      <w:r w:rsidRPr="004A055E">
        <w:rPr>
          <w:lang w:val="sq-AL"/>
        </w:rPr>
        <w:t>Uticaj deregulacije</w:t>
      </w:r>
    </w:p>
    <w:p w:rsidR="0075093C" w:rsidRDefault="004A055E" w:rsidP="009277F3">
      <w:pPr>
        <w:jc w:val="both"/>
        <w:rPr>
          <w:lang w:val="sq-AL"/>
        </w:rPr>
      </w:pPr>
      <w:r w:rsidRPr="004A055E">
        <w:rPr>
          <w:lang w:val="sq-AL"/>
        </w:rPr>
        <w:t>RUE je takođe uzeo u obzir uticaj deregulacije potrošača od 0,15% na procenu lošeg duga. Konačni predlog RUE za omogućavanje nivoa lošeg duga za baznu 2022. godinu regulatornog perioda je 2,4%, dok se predlaže da se ova stopa smanji na 2,0% u 2024. Ovaj cilj RUE</w:t>
      </w:r>
      <w:r>
        <w:rPr>
          <w:lang w:val="sq-AL"/>
        </w:rPr>
        <w:t>-a</w:t>
      </w:r>
      <w:r w:rsidRPr="004A055E">
        <w:rPr>
          <w:lang w:val="sq-AL"/>
        </w:rPr>
        <w:t xml:space="preserve"> ima kao referencu prosečan nivo o</w:t>
      </w:r>
      <w:r>
        <w:rPr>
          <w:lang w:val="sq-AL"/>
        </w:rPr>
        <w:t>stvaren od strane KESCO-SUU</w:t>
      </w:r>
      <w:r w:rsidRPr="004A055E">
        <w:rPr>
          <w:lang w:val="sq-AL"/>
        </w:rPr>
        <w:t xml:space="preserve"> u periodu 2017-2021, što je iznosilo 1,7%. Ova razlika od 0,4% podeljena je na dve godine, gde je za 2023. godinu predloženo da loš dug bude 2,2%, dok je za 2024. predloženo 2,0%. </w:t>
      </w:r>
      <w:r>
        <w:rPr>
          <w:lang w:val="sq-AL"/>
        </w:rPr>
        <w:t xml:space="preserve">Cilj regulatora </w:t>
      </w:r>
      <w:r w:rsidRPr="004A055E">
        <w:rPr>
          <w:lang w:val="sq-AL"/>
        </w:rPr>
        <w:t>je da se pruži podsticaj za dalje unapređenje računa potraživanja, ovaj podsticaj je takođe zasnovan na činjenici da je kroz p</w:t>
      </w:r>
      <w:r>
        <w:rPr>
          <w:lang w:val="sq-AL"/>
        </w:rPr>
        <w:t>roces izvršenja u prošlosti SUU</w:t>
      </w:r>
      <w:r w:rsidRPr="004A055E">
        <w:rPr>
          <w:lang w:val="sq-AL"/>
        </w:rPr>
        <w:t xml:space="preserve"> imao poboljšanje u nivou potraživanja.</w:t>
      </w:r>
    </w:p>
    <w:p w:rsidR="0075093C" w:rsidRPr="007F49D2" w:rsidRDefault="004A055E" w:rsidP="009277F3">
      <w:pPr>
        <w:jc w:val="both"/>
        <w:rPr>
          <w:lang w:val="sq-AL"/>
        </w:rPr>
      </w:pPr>
      <w:r w:rsidRPr="004A055E">
        <w:rPr>
          <w:lang w:val="sq-AL"/>
        </w:rPr>
        <w:t>Regulatorni mehanizam za upravljanje lošim dugom omogućava finansiranje deficita u prihodima koj</w:t>
      </w:r>
      <w:r>
        <w:rPr>
          <w:lang w:val="sq-AL"/>
        </w:rPr>
        <w:t>i se ne mogu naplatiti od potro</w:t>
      </w:r>
      <w:r>
        <w:rPr>
          <w:rFonts w:cstheme="minorHAnsi"/>
          <w:lang w:val="sq-AL"/>
        </w:rPr>
        <w:t>š</w:t>
      </w:r>
      <w:r>
        <w:rPr>
          <w:lang w:val="sq-AL"/>
        </w:rPr>
        <w:t>a</w:t>
      </w:r>
      <w:r>
        <w:rPr>
          <w:rFonts w:cstheme="minorHAnsi"/>
          <w:lang w:val="sq-AL"/>
        </w:rPr>
        <w:t>ć</w:t>
      </w:r>
      <w:r>
        <w:rPr>
          <w:lang w:val="sq-AL"/>
        </w:rPr>
        <w:t>a</w:t>
      </w:r>
      <w:r w:rsidRPr="004A055E">
        <w:rPr>
          <w:lang w:val="sq-AL"/>
        </w:rPr>
        <w:t xml:space="preserve"> po najnižim mogućim troškovima, uzimajući u obzir prihvatljiv nivo izloženosti finan</w:t>
      </w:r>
      <w:r>
        <w:rPr>
          <w:lang w:val="sq-AL"/>
        </w:rPr>
        <w:t>sijskim rizicima i likvidnosti SUU-a.</w:t>
      </w:r>
      <w:r w:rsidR="0075093C" w:rsidRPr="00724407">
        <w:rPr>
          <w:lang w:val="sq-AL"/>
        </w:rPr>
        <w:t xml:space="preserve"> </w:t>
      </w:r>
    </w:p>
    <w:p w:rsidR="0075093C" w:rsidRDefault="004A055E" w:rsidP="009277F3">
      <w:pPr>
        <w:jc w:val="both"/>
        <w:rPr>
          <w:lang w:val="sq-AL"/>
        </w:rPr>
      </w:pPr>
      <w:r w:rsidRPr="004A055E">
        <w:rPr>
          <w:lang w:val="sq-AL"/>
        </w:rPr>
        <w:t>U donjoj tabeli su prikazani korišćeni podaci i proračuni koji se odnose na aspekte ne</w:t>
      </w:r>
      <w:r>
        <w:rPr>
          <w:lang w:val="sq-AL"/>
        </w:rPr>
        <w:t>-</w:t>
      </w:r>
      <w:r w:rsidRPr="004A055E">
        <w:rPr>
          <w:lang w:val="sq-AL"/>
        </w:rPr>
        <w:t>naplate za dozvoljavanje loših dugova.</w:t>
      </w:r>
    </w:p>
    <w:p w:rsidR="00820A8B" w:rsidRPr="00EF4D5D" w:rsidRDefault="00820A8B" w:rsidP="009277F3">
      <w:pPr>
        <w:jc w:val="both"/>
        <w:rPr>
          <w:lang w:val="sq-AL"/>
        </w:rPr>
      </w:pPr>
    </w:p>
    <w:p w:rsidR="0075093C" w:rsidRPr="00CC5249" w:rsidRDefault="0075093C" w:rsidP="0075093C">
      <w:pPr>
        <w:pStyle w:val="Caption"/>
        <w:rPr>
          <w:lang w:val="sq-AL"/>
        </w:rPr>
      </w:pPr>
      <w:r>
        <w:t xml:space="preserve">Tabela  </w:t>
      </w:r>
      <w:r>
        <w:fldChar w:fldCharType="begin"/>
      </w:r>
      <w:r>
        <w:instrText xml:space="preserve"> SEQ Tabela_ \* ARABIC </w:instrText>
      </w:r>
      <w:r>
        <w:fldChar w:fldCharType="separate"/>
      </w:r>
      <w:r w:rsidR="00AC532D">
        <w:rPr>
          <w:noProof/>
        </w:rPr>
        <w:t>4</w:t>
      </w:r>
      <w:r>
        <w:fldChar w:fldCharType="end"/>
      </w:r>
      <w:r w:rsidRPr="00CC5249">
        <w:rPr>
          <w:lang w:val="sq-AL"/>
        </w:rPr>
        <w:t xml:space="preserve"> </w:t>
      </w:r>
      <w:r w:rsidR="004A055E" w:rsidRPr="004A055E">
        <w:rPr>
          <w:lang w:val="sq-AL"/>
        </w:rPr>
        <w:t>Istorijske stope ne</w:t>
      </w:r>
      <w:r w:rsidR="004A055E">
        <w:rPr>
          <w:lang w:val="sq-AL"/>
        </w:rPr>
        <w:t>-</w:t>
      </w:r>
      <w:r w:rsidR="004A055E" w:rsidRPr="004A055E">
        <w:rPr>
          <w:lang w:val="sq-AL"/>
        </w:rPr>
        <w:t>naplate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4"/>
        <w:gridCol w:w="608"/>
        <w:gridCol w:w="838"/>
        <w:gridCol w:w="838"/>
        <w:gridCol w:w="838"/>
        <w:gridCol w:w="838"/>
        <w:gridCol w:w="838"/>
        <w:gridCol w:w="938"/>
      </w:tblGrid>
      <w:tr w:rsidR="0075093C" w:rsidRPr="00450894" w:rsidTr="009277F3">
        <w:trPr>
          <w:trHeight w:val="187"/>
        </w:trPr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B26335" w:rsidRDefault="004A055E" w:rsidP="007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Fakturisanje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Unit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2017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2019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2020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b/>
                <w:bCs/>
                <w:color w:val="FFFFFF"/>
                <w:lang w:val="sq-AL" w:eastAsia="en-GB"/>
              </w:rPr>
              <w:t>2021*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450894" w:rsidRDefault="004A055E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Ukupno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4A055E" w:rsidP="004A055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="Calibri"/>
                <w:color w:val="000000"/>
                <w:lang w:val="sq-AL" w:eastAsia="en-GB"/>
              </w:rPr>
            </w:pPr>
            <w:r w:rsidRPr="004A055E">
              <w:rPr>
                <w:rFonts w:cs="Calibri"/>
                <w:color w:val="000000"/>
                <w:lang w:val="sq-AL" w:eastAsia="en-GB"/>
              </w:rPr>
              <w:t>Naplata energije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color w:val="000000"/>
                <w:lang w:val="sq-AL" w:eastAsia="en-GB"/>
              </w:rPr>
              <w:t>mil€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color w:val="000000"/>
                <w:lang w:val="sq-AL" w:eastAsia="en-GB"/>
              </w:rPr>
              <w:t>270.41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263.47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278.21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289.68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326.08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1,428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4A055E" w:rsidP="007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A055E">
              <w:rPr>
                <w:rFonts w:ascii="Calibri" w:eastAsia="Times New Roman" w:hAnsi="Calibri" w:cs="Calibri"/>
                <w:color w:val="000000"/>
                <w:lang w:val="sq-AL" w:eastAsia="en-GB"/>
              </w:rPr>
              <w:t>Fakturisanje usluga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color w:val="000000"/>
                <w:lang w:val="sq-AL" w:eastAsia="en-GB"/>
              </w:rPr>
              <w:t>mil€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color w:val="000000"/>
                <w:lang w:val="sq-AL" w:eastAsia="en-GB"/>
              </w:rPr>
              <w:t>2.24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1.77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10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8F3684" w:rsidP="007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q-AL" w:eastAsia="en-GB"/>
              </w:rPr>
              <w:t>Ukupan izr</w:t>
            </w:r>
            <w:r w:rsidR="004A055E" w:rsidRPr="004A055E">
              <w:rPr>
                <w:rFonts w:ascii="Calibri" w:eastAsia="Times New Roman" w:hAnsi="Calibri" w:cs="Calibri"/>
                <w:color w:val="000000"/>
                <w:lang w:val="sq-AL" w:eastAsia="en-GB"/>
              </w:rPr>
              <w:t>ačun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color w:val="000000"/>
                <w:lang w:val="sq-AL" w:eastAsia="en-GB"/>
              </w:rPr>
              <w:t>mil€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color w:val="000000"/>
                <w:lang w:val="sq-AL" w:eastAsia="en-GB"/>
              </w:rPr>
              <w:t>273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328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1,438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75093C" w:rsidP="007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 w:eastAsia="en-GB"/>
              </w:rPr>
            </w:pP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CC5249" w:rsidRDefault="004A055E" w:rsidP="007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Naplata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Unit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2017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2019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2020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b/>
                <w:bCs/>
                <w:color w:val="FFFFFF"/>
                <w:lang w:val="sq-AL" w:eastAsia="en-GB"/>
              </w:rPr>
              <w:t>2021*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75093C" w:rsidRPr="00450894" w:rsidRDefault="004A055E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DDEBF7"/>
                <w:lang w:val="sq-AL" w:eastAsia="en-GB"/>
              </w:rPr>
              <w:t>Ukupno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75093C" w:rsidP="007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CC5249">
              <w:rPr>
                <w:rFonts w:ascii="Calibri" w:eastAsia="Times New Roman" w:hAnsi="Calibri" w:cs="Calibri"/>
                <w:color w:val="000000"/>
                <w:lang w:val="sq-AL" w:eastAsia="en-GB"/>
              </w:rPr>
              <w:t xml:space="preserve">b) </w:t>
            </w:r>
            <w:r w:rsidR="004A055E" w:rsidRPr="004A055E">
              <w:rPr>
                <w:rFonts w:ascii="Calibri" w:eastAsia="Times New Roman" w:hAnsi="Calibri" w:cs="Calibri"/>
                <w:color w:val="000000"/>
                <w:lang w:val="sq-AL" w:eastAsia="en-GB"/>
              </w:rPr>
              <w:t>Naplata za fakturisanu energiju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color w:val="000000"/>
                <w:lang w:val="sq-AL" w:eastAsia="en-GB"/>
              </w:rPr>
              <w:t>mil€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color w:val="000000"/>
                <w:lang w:val="sq-AL" w:eastAsia="en-GB"/>
              </w:rPr>
              <w:t>256.21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249.89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266.91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264.11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315.83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1,353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4A055E" w:rsidP="007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A055E">
              <w:rPr>
                <w:rFonts w:ascii="Calibri" w:eastAsia="Times New Roman" w:hAnsi="Calibri" w:cs="Calibri"/>
                <w:color w:val="000000"/>
                <w:lang w:val="sq-AL" w:eastAsia="en-GB"/>
              </w:rPr>
              <w:lastRenderedPageBreak/>
              <w:t xml:space="preserve">Unapred plaćanje </w:t>
            </w:r>
            <w:r w:rsidR="0075093C" w:rsidRPr="00CC5249">
              <w:rPr>
                <w:rFonts w:ascii="Calibri" w:eastAsia="Times New Roman" w:hAnsi="Calibri" w:cs="Calibri"/>
                <w:color w:val="000000"/>
                <w:lang w:val="sq-AL" w:eastAsia="en-GB"/>
              </w:rPr>
              <w:t>**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color w:val="000000"/>
                <w:lang w:val="sq-AL" w:eastAsia="en-GB"/>
              </w:rPr>
              <w:t>mil€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color w:val="000000"/>
                <w:lang w:val="sq-AL" w:eastAsia="en-GB"/>
              </w:rPr>
              <w:t>3.51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4.22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2.68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8.37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5.63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24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4A055E" w:rsidP="007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q-AL" w:eastAsia="en-GB"/>
              </w:rPr>
              <w:t xml:space="preserve">c) </w:t>
            </w:r>
            <w:r w:rsidRPr="004A055E">
              <w:rPr>
                <w:rFonts w:ascii="Calibri" w:eastAsia="Times New Roman" w:hAnsi="Calibri" w:cs="Calibri"/>
                <w:color w:val="000000"/>
                <w:lang w:val="sq-AL" w:eastAsia="en-GB"/>
              </w:rPr>
              <w:t>Izvršenje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color w:val="000000"/>
                <w:lang w:val="sq-AL" w:eastAsia="en-GB"/>
              </w:rPr>
              <w:t>mil€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color w:val="000000"/>
                <w:lang w:val="sq-AL" w:eastAsia="en-GB"/>
              </w:rPr>
              <w:t>0.65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2.67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3.90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2.02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2.77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12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4A055E" w:rsidP="007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q-AL" w:eastAsia="en-GB"/>
              </w:rPr>
              <w:t>Usluge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color w:val="000000"/>
                <w:lang w:val="sq-AL" w:eastAsia="en-GB"/>
              </w:rPr>
              <w:t>mil€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color w:val="000000"/>
                <w:lang w:val="sq-AL" w:eastAsia="en-GB"/>
              </w:rPr>
              <w:t>2.14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2.27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2.14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1.31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2.17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10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4A055E" w:rsidP="007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A055E">
              <w:rPr>
                <w:rFonts w:ascii="Calibri" w:eastAsia="Times New Roman" w:hAnsi="Calibri" w:cs="Calibri"/>
                <w:color w:val="000000"/>
                <w:lang w:val="sq-AL" w:eastAsia="en-GB"/>
              </w:rPr>
              <w:t xml:space="preserve">Prihodi od naplate dugova </w:t>
            </w:r>
            <w:r w:rsidR="0075093C" w:rsidRPr="00CC5249">
              <w:rPr>
                <w:rFonts w:ascii="Calibri" w:eastAsia="Times New Roman" w:hAnsi="Calibri" w:cs="Calibri"/>
                <w:color w:val="000000"/>
                <w:lang w:val="sq-AL" w:eastAsia="en-GB"/>
              </w:rPr>
              <w:t>-KEK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color w:val="000000"/>
                <w:lang w:val="sq-AL" w:eastAsia="en-GB"/>
              </w:rPr>
              <w:t>mil€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color w:val="000000"/>
                <w:lang w:val="sq-AL" w:eastAsia="en-GB"/>
              </w:rPr>
              <w:t>0.49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0.15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0.00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0.00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0.04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4A055E" w:rsidP="007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q-AL" w:eastAsia="en-GB"/>
              </w:rPr>
              <w:t>KEK – dogovor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color w:val="000000"/>
                <w:lang w:val="sq-AL" w:eastAsia="en-GB"/>
              </w:rPr>
              <w:t>mil€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color w:val="000000"/>
                <w:lang w:val="sq-AL" w:eastAsia="en-GB"/>
              </w:rPr>
              <w:t>3.81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1.29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1.09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0.39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0.40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7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4A055E" w:rsidP="007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q-AL" w:eastAsia="en-GB"/>
              </w:rPr>
              <w:t>Ukupno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color w:val="000000"/>
                <w:lang w:val="sq-AL" w:eastAsia="en-GB"/>
              </w:rPr>
              <w:t>mil€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color w:val="000000"/>
                <w:lang w:val="sq-AL" w:eastAsia="en-GB"/>
              </w:rPr>
              <w:t>267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327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1,407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CC5249" w:rsidRDefault="004A055E" w:rsidP="007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A055E">
              <w:rPr>
                <w:rFonts w:ascii="Calibri" w:eastAsia="Times New Roman" w:hAnsi="Calibri" w:cs="Calibri"/>
                <w:color w:val="000000"/>
                <w:lang w:val="sq-AL" w:eastAsia="en-GB"/>
              </w:rPr>
              <w:t>Stopa nenaplate</w:t>
            </w:r>
            <w:r w:rsidR="0075093C" w:rsidRPr="00CC5249">
              <w:rPr>
                <w:rFonts w:ascii="Calibri" w:eastAsia="Times New Roman" w:hAnsi="Calibri" w:cs="Calibri"/>
                <w:color w:val="000000"/>
                <w:lang w:val="sq-AL" w:eastAsia="en-GB"/>
              </w:rPr>
              <w:t xml:space="preserve"> (b+c)/a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color w:val="000000"/>
                <w:lang w:val="sq-AL" w:eastAsia="en-GB"/>
              </w:rPr>
              <w:t>%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color w:val="000000"/>
                <w:lang w:val="sq-AL" w:eastAsia="en-GB"/>
              </w:rPr>
              <w:t>5.0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4.1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2.7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8.1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2.3</w:t>
            </w:r>
          </w:p>
        </w:tc>
        <w:tc>
          <w:tcPr>
            <w:tcW w:w="3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4.4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5093C" w:rsidRPr="00CC5249" w:rsidRDefault="004A055E" w:rsidP="007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q-AL" w:eastAsia="en-GB"/>
              </w:rPr>
              <w:t xml:space="preserve">d) </w:t>
            </w:r>
            <w:r w:rsidR="00E67D37">
              <w:rPr>
                <w:rFonts w:ascii="Calibri" w:eastAsia="Times New Roman" w:hAnsi="Calibri" w:cs="Calibri"/>
                <w:color w:val="000000"/>
                <w:lang w:val="sq-AL" w:eastAsia="en-GB"/>
              </w:rPr>
              <w:t>Gubitak vrednosti/</w:t>
            </w:r>
            <w:r>
              <w:rPr>
                <w:rFonts w:ascii="Calibri" w:eastAsia="Times New Roman" w:hAnsi="Calibri" w:cs="Calibri"/>
                <w:color w:val="000000"/>
                <w:lang w:val="sq-AL" w:eastAsia="en-GB"/>
              </w:rPr>
              <w:t>P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color w:val="000000"/>
                <w:lang w:val="sq-AL" w:eastAsia="en-GB"/>
              </w:rPr>
              <w:t>mil€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color w:val="000000"/>
                <w:lang w:val="sq-AL" w:eastAsia="en-GB"/>
              </w:rPr>
              <w:t>4.0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5.4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2.3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8.6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3.3</w:t>
            </w:r>
          </w:p>
        </w:tc>
        <w:tc>
          <w:tcPr>
            <w:tcW w:w="3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20.3</w:t>
            </w:r>
          </w:p>
        </w:tc>
      </w:tr>
      <w:tr w:rsidR="0075093C" w:rsidRPr="00450894" w:rsidTr="009277F3">
        <w:trPr>
          <w:trHeight w:val="187"/>
        </w:trPr>
        <w:tc>
          <w:tcPr>
            <w:tcW w:w="1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CC5249" w:rsidRDefault="00FD45DC" w:rsidP="007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FD45DC">
              <w:rPr>
                <w:rFonts w:ascii="Calibri" w:eastAsia="Times New Roman" w:hAnsi="Calibri" w:cs="Calibri"/>
                <w:color w:val="000000"/>
                <w:lang w:val="sq-AL" w:eastAsia="en-GB"/>
              </w:rPr>
              <w:t>Gubitak vrednosti</w:t>
            </w:r>
            <w:r w:rsidR="00E67D37">
              <w:rPr>
                <w:rFonts w:ascii="Calibri" w:eastAsia="Times New Roman" w:hAnsi="Calibri" w:cs="Calibri"/>
                <w:color w:val="000000"/>
                <w:lang w:val="sq-AL"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sq-AL" w:eastAsia="en-GB"/>
              </w:rPr>
              <w:t>P</w:t>
            </w:r>
            <w:r w:rsidR="00E67D37">
              <w:rPr>
                <w:rFonts w:ascii="Calibri" w:eastAsia="Times New Roman" w:hAnsi="Calibri" w:cs="Calibri"/>
                <w:color w:val="000000"/>
                <w:lang w:val="sq-AL" w:eastAsia="en-GB"/>
              </w:rPr>
              <w:t>/</w:t>
            </w:r>
            <w:r w:rsidR="0075093C" w:rsidRPr="00CC5249">
              <w:rPr>
                <w:rFonts w:ascii="Calibri" w:eastAsia="Times New Roman" w:hAnsi="Calibri" w:cs="Calibri"/>
                <w:color w:val="000000"/>
                <w:lang w:val="sq-AL" w:eastAsia="en-GB"/>
              </w:rPr>
              <w:t>d/a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Calibri"/>
                <w:color w:val="000000"/>
                <w:lang w:val="sq-AL" w:eastAsia="en-GB"/>
              </w:rPr>
              <w:t>%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Calibri"/>
                <w:color w:val="000000"/>
                <w:lang w:val="sq-AL" w:eastAsia="en-GB"/>
              </w:rPr>
              <w:t>1.5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2.1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0.8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3.0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1.0</w:t>
            </w:r>
          </w:p>
        </w:tc>
        <w:tc>
          <w:tcPr>
            <w:tcW w:w="3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Calibri"/>
                <w:color w:val="000000"/>
                <w:lang w:val="sq-AL" w:eastAsia="en-GB"/>
              </w:rPr>
              <w:t>1.4</w:t>
            </w:r>
          </w:p>
        </w:tc>
      </w:tr>
    </w:tbl>
    <w:p w:rsidR="0075093C" w:rsidRPr="00CC5249" w:rsidRDefault="0075093C" w:rsidP="0075093C">
      <w:pPr>
        <w:rPr>
          <w:lang w:val="sq-AL"/>
        </w:rPr>
      </w:pPr>
    </w:p>
    <w:p w:rsidR="0075093C" w:rsidRPr="00CC5249" w:rsidRDefault="009B2051" w:rsidP="0075093C">
      <w:pPr>
        <w:pStyle w:val="Heading5"/>
        <w:ind w:firstLine="720"/>
        <w:rPr>
          <w:lang w:val="sq-AL"/>
        </w:rPr>
      </w:pPr>
      <w:r w:rsidRPr="009B2051">
        <w:rPr>
          <w:lang w:val="sq-AL"/>
        </w:rPr>
        <w:t>Analiza procene deregulacije</w:t>
      </w:r>
    </w:p>
    <w:p w:rsidR="0075093C" w:rsidRPr="00450894" w:rsidRDefault="00AC532D" w:rsidP="009277F3">
      <w:pPr>
        <w:jc w:val="both"/>
        <w:rPr>
          <w:lang w:val="sq-AL"/>
        </w:rPr>
      </w:pPr>
      <w:r w:rsidRPr="00AC532D">
        <w:rPr>
          <w:lang w:val="sq-AL"/>
        </w:rPr>
        <w:t>Razumno je očekivati da će ulazak na tržište većih i redovnih</w:t>
      </w:r>
      <w:r>
        <w:rPr>
          <w:lang w:val="sq-AL"/>
        </w:rPr>
        <w:t xml:space="preserve"> potro</w:t>
      </w:r>
      <w:r>
        <w:rPr>
          <w:rFonts w:cstheme="minorHAnsi"/>
          <w:lang w:val="sq-AL"/>
        </w:rPr>
        <w:t>š</w:t>
      </w:r>
      <w:r>
        <w:rPr>
          <w:lang w:val="sq-AL"/>
        </w:rPr>
        <w:t>a</w:t>
      </w:r>
      <w:r>
        <w:rPr>
          <w:rFonts w:cstheme="minorHAnsi"/>
          <w:lang w:val="sq-AL"/>
        </w:rPr>
        <w:t>ć</w:t>
      </w:r>
      <w:r>
        <w:rPr>
          <w:lang w:val="sq-AL"/>
        </w:rPr>
        <w:t>a</w:t>
      </w:r>
      <w:r w:rsidRPr="00AC532D">
        <w:rPr>
          <w:lang w:val="sq-AL"/>
        </w:rPr>
        <w:t xml:space="preserve"> dovesti do povećanja stope n</w:t>
      </w:r>
      <w:r>
        <w:rPr>
          <w:lang w:val="sq-AL"/>
        </w:rPr>
        <w:t>enaplativih potraživanja za SUU</w:t>
      </w:r>
      <w:r w:rsidRPr="00AC532D">
        <w:rPr>
          <w:lang w:val="sq-AL"/>
        </w:rPr>
        <w:t>, kako s</w:t>
      </w:r>
      <w:r>
        <w:rPr>
          <w:lang w:val="sq-AL"/>
        </w:rPr>
        <w:t>e menja sastav kategorija potro</w:t>
      </w:r>
      <w:r>
        <w:rPr>
          <w:rFonts w:cstheme="minorHAnsi"/>
          <w:lang w:val="sq-AL"/>
        </w:rPr>
        <w:t>š</w:t>
      </w:r>
      <w:r>
        <w:rPr>
          <w:lang w:val="sq-AL"/>
        </w:rPr>
        <w:t>a</w:t>
      </w:r>
      <w:r>
        <w:rPr>
          <w:rFonts w:cstheme="minorHAnsi"/>
          <w:lang w:val="sq-AL"/>
        </w:rPr>
        <w:t>ć</w:t>
      </w:r>
      <w:r>
        <w:rPr>
          <w:lang w:val="sq-AL"/>
        </w:rPr>
        <w:t>a</w:t>
      </w:r>
      <w:r w:rsidRPr="00AC532D">
        <w:rPr>
          <w:lang w:val="sq-AL"/>
        </w:rPr>
        <w:t>. Međutim, teško je utvrditi veličinu ovog uticaja. Proračuni koje je dao KESCO ne objašnjavaju osnovne pretpostavke i stoga se ne mogu proveriti. Oni takođe pokazuju da se uticaj deregulacije vremenom smanjuje, dok bi</w:t>
      </w:r>
      <w:r>
        <w:rPr>
          <w:lang w:val="sq-AL"/>
        </w:rPr>
        <w:t xml:space="preserve"> povećanje nivoa prometa potro</w:t>
      </w:r>
      <w:r>
        <w:rPr>
          <w:rFonts w:cstheme="minorHAnsi"/>
          <w:lang w:val="sq-AL"/>
        </w:rPr>
        <w:t>š</w:t>
      </w:r>
      <w:r>
        <w:rPr>
          <w:lang w:val="sq-AL"/>
        </w:rPr>
        <w:t>a</w:t>
      </w:r>
      <w:r>
        <w:rPr>
          <w:rFonts w:cstheme="minorHAnsi"/>
          <w:lang w:val="sq-AL"/>
        </w:rPr>
        <w:t>ć</w:t>
      </w:r>
      <w:r>
        <w:rPr>
          <w:lang w:val="sq-AL"/>
        </w:rPr>
        <w:t>a</w:t>
      </w:r>
      <w:r w:rsidRPr="00AC532D">
        <w:rPr>
          <w:lang w:val="sq-AL"/>
        </w:rPr>
        <w:t xml:space="preserve"> intuitivno dovelo do sve većeg uticaja na nivo lošeg duga</w:t>
      </w:r>
      <w:r>
        <w:rPr>
          <w:lang w:val="sq-AL"/>
        </w:rPr>
        <w:t>.</w:t>
      </w:r>
    </w:p>
    <w:p w:rsidR="0075093C" w:rsidRPr="00450894" w:rsidRDefault="00AC532D" w:rsidP="009277F3">
      <w:pPr>
        <w:jc w:val="both"/>
        <w:rPr>
          <w:lang w:val="sq-AL"/>
        </w:rPr>
      </w:pPr>
      <w:r w:rsidRPr="00AC532D">
        <w:rPr>
          <w:lang w:val="sq-AL"/>
        </w:rPr>
        <w:t xml:space="preserve">U nastojanju da </w:t>
      </w:r>
      <w:r>
        <w:rPr>
          <w:lang w:val="sq-AL"/>
        </w:rPr>
        <w:t xml:space="preserve">se </w:t>
      </w:r>
      <w:r w:rsidRPr="00AC532D">
        <w:rPr>
          <w:lang w:val="sq-AL"/>
        </w:rPr>
        <w:t>približi efekat deregulacije potrošača, u skladu sa najnovijim Uputstvom RUE o</w:t>
      </w:r>
      <w:r>
        <w:rPr>
          <w:lang w:val="sq-AL"/>
        </w:rPr>
        <w:t xml:space="preserve"> Liberalizaciji Tržišta Električne E</w:t>
      </w:r>
      <w:r w:rsidR="008F2898">
        <w:rPr>
          <w:lang w:val="sq-AL"/>
        </w:rPr>
        <w:t>nergije, RUE je zahtevao</w:t>
      </w:r>
      <w:r w:rsidRPr="00AC532D">
        <w:rPr>
          <w:lang w:val="sq-AL"/>
        </w:rPr>
        <w:t xml:space="preserve"> od KESCO-a da pruži podatke o fakturisanju i stopama naplate za naponske nivoe (35 kV, 10 kV i 0,4 kV).</w:t>
      </w:r>
      <w:r w:rsidR="0075093C" w:rsidRPr="00450894">
        <w:rPr>
          <w:lang w:val="sq-AL"/>
        </w:rPr>
        <w:t xml:space="preserve"> </w:t>
      </w:r>
    </w:p>
    <w:p w:rsidR="00820A8B" w:rsidRPr="00450894" w:rsidRDefault="00AC532D" w:rsidP="009277F3">
      <w:pPr>
        <w:jc w:val="both"/>
        <w:rPr>
          <w:lang w:val="sq-AL"/>
        </w:rPr>
      </w:pPr>
      <w:r w:rsidRPr="00AC532D">
        <w:rPr>
          <w:lang w:val="sq-AL"/>
        </w:rPr>
        <w:t>Tačan proračun uticaja de</w:t>
      </w:r>
      <w:r>
        <w:rPr>
          <w:lang w:val="sq-AL"/>
        </w:rPr>
        <w:t>regulacije na stopu naplate SUU</w:t>
      </w:r>
      <w:r w:rsidRPr="00AC532D">
        <w:rPr>
          <w:lang w:val="sq-AL"/>
        </w:rPr>
        <w:t xml:space="preserve"> bi</w:t>
      </w:r>
      <w:r>
        <w:rPr>
          <w:lang w:val="sq-AL"/>
        </w:rPr>
        <w:t>h</w:t>
      </w:r>
      <w:r w:rsidRPr="00AC532D">
        <w:rPr>
          <w:lang w:val="sq-AL"/>
        </w:rPr>
        <w:t xml:space="preserve"> zahtevao, između ostalog, ident</w:t>
      </w:r>
      <w:r>
        <w:rPr>
          <w:lang w:val="sq-AL"/>
        </w:rPr>
        <w:t>ifikaciju broja potro</w:t>
      </w:r>
      <w:r>
        <w:rPr>
          <w:rFonts w:cstheme="minorHAnsi"/>
          <w:lang w:val="sq-AL"/>
        </w:rPr>
        <w:t>š</w:t>
      </w:r>
      <w:r>
        <w:rPr>
          <w:lang w:val="sq-AL"/>
        </w:rPr>
        <w:t>a</w:t>
      </w:r>
      <w:r>
        <w:rPr>
          <w:rFonts w:cstheme="minorHAnsi"/>
          <w:lang w:val="sq-AL"/>
        </w:rPr>
        <w:t>ć</w:t>
      </w:r>
      <w:r>
        <w:rPr>
          <w:lang w:val="sq-AL"/>
        </w:rPr>
        <w:t>a</w:t>
      </w:r>
      <w:r w:rsidRPr="00AC532D">
        <w:rPr>
          <w:lang w:val="sq-AL"/>
        </w:rPr>
        <w:t xml:space="preserve"> priključenih na 35 kV i 10 kV mreže koji se kvalifikuju za k</w:t>
      </w:r>
      <w:r>
        <w:rPr>
          <w:lang w:val="sq-AL"/>
        </w:rPr>
        <w:t>riterijume iz člana 37.2. Zakona za Električnu E</w:t>
      </w:r>
      <w:r w:rsidRPr="00AC532D">
        <w:rPr>
          <w:lang w:val="sq-AL"/>
        </w:rPr>
        <w:t>nergiju. U nedostatku takvih podataka, za potrebe ovog pregleda, RUE je pretpostavio da nijedan od potrošača na 35 kV i 10 kV nivoima ne ispunjava ove kriterijume i – prema tome</w:t>
      </w:r>
      <w:r>
        <w:rPr>
          <w:lang w:val="sq-AL"/>
        </w:rPr>
        <w:t xml:space="preserve"> – svi podležu deregulaciji. Izra</w:t>
      </w:r>
      <w:r w:rsidRPr="00AC532D">
        <w:rPr>
          <w:lang w:val="sq-AL"/>
        </w:rPr>
        <w:t>čun</w:t>
      </w:r>
      <w:r>
        <w:rPr>
          <w:lang w:val="sq-AL"/>
        </w:rPr>
        <w:t>avanje</w:t>
      </w:r>
      <w:r w:rsidRPr="00AC532D">
        <w:rPr>
          <w:lang w:val="sq-AL"/>
        </w:rPr>
        <w:t xml:space="preserve"> rezultujućih stopa naplate i procentualne promene u odnosu na nivoe iz 2019. godine prikazani su u</w:t>
      </w:r>
      <w:r>
        <w:rPr>
          <w:lang w:val="sq-AL"/>
        </w:rPr>
        <w:t xml:space="preserve"> slede</w:t>
      </w:r>
      <w:r>
        <w:rPr>
          <w:rFonts w:cstheme="minorHAnsi"/>
          <w:lang w:val="sq-AL"/>
        </w:rPr>
        <w:t>ć</w:t>
      </w:r>
      <w:r>
        <w:rPr>
          <w:lang w:val="sq-AL"/>
        </w:rPr>
        <w:t>oj</w:t>
      </w:r>
      <w:r w:rsidRPr="00AC532D">
        <w:rPr>
          <w:lang w:val="sq-AL"/>
        </w:rPr>
        <w:t xml:space="preserve"> tabeli 4. </w:t>
      </w:r>
    </w:p>
    <w:p w:rsidR="0075093C" w:rsidRPr="00CC5249" w:rsidRDefault="0075093C" w:rsidP="0075093C">
      <w:pPr>
        <w:pStyle w:val="Caption"/>
        <w:rPr>
          <w:lang w:val="sq-AL"/>
        </w:rPr>
      </w:pPr>
      <w:r>
        <w:t xml:space="preserve">Tabela  </w:t>
      </w:r>
      <w:r>
        <w:fldChar w:fldCharType="begin"/>
      </w:r>
      <w:r>
        <w:instrText xml:space="preserve"> SEQ Tabela_ \* ARABIC </w:instrText>
      </w:r>
      <w:r>
        <w:fldChar w:fldCharType="separate"/>
      </w:r>
      <w:r w:rsidR="00AC532D">
        <w:rPr>
          <w:noProof/>
        </w:rPr>
        <w:t>5</w:t>
      </w:r>
      <w:r>
        <w:fldChar w:fldCharType="end"/>
      </w:r>
      <w:r>
        <w:rPr>
          <w:lang w:val="sq-AL"/>
        </w:rPr>
        <w:t xml:space="preserve"> </w:t>
      </w:r>
      <w:r w:rsidR="00AC532D" w:rsidRPr="00AC532D">
        <w:rPr>
          <w:lang w:val="sq-AL"/>
        </w:rPr>
        <w:t xml:space="preserve">Efekti deregulacije na stope naplate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75"/>
        <w:gridCol w:w="2024"/>
        <w:gridCol w:w="2061"/>
      </w:tblGrid>
      <w:tr w:rsidR="0075093C" w:rsidRPr="00450894" w:rsidTr="0075093C">
        <w:trPr>
          <w:trHeight w:val="408"/>
        </w:trPr>
        <w:tc>
          <w:tcPr>
            <w:tcW w:w="28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75093C" w:rsidRPr="00B26335" w:rsidRDefault="00AC532D" w:rsidP="0075093C">
            <w:pPr>
              <w:spacing w:after="0" w:line="240" w:lineRule="auto"/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</w:pPr>
            <w:r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  <w:t>Efekti  deregulacije (Podaci</w:t>
            </w:r>
            <w:r w:rsidR="0075093C" w:rsidRPr="00B26335"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  <w:t xml:space="preserve"> 2019</w:t>
            </w:r>
            <w:r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  <w:t xml:space="preserve"> godine</w:t>
            </w:r>
            <w:r w:rsidR="0075093C" w:rsidRPr="00B26335"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  <w:t>)</w:t>
            </w:r>
          </w:p>
        </w:tc>
        <w:tc>
          <w:tcPr>
            <w:tcW w:w="10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75093C" w:rsidRPr="00B1408C" w:rsidRDefault="00AC532D" w:rsidP="0075093C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</w:pPr>
            <w:r w:rsidRPr="00AC532D"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  <w:t>Stopa naplate</w:t>
            </w:r>
          </w:p>
        </w:tc>
        <w:tc>
          <w:tcPr>
            <w:tcW w:w="11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AC532D" w:rsidRPr="00AC532D" w:rsidRDefault="00AC532D" w:rsidP="00AC532D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</w:pPr>
            <w:r w:rsidRPr="00AC532D"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  <w:t>razlika u</w:t>
            </w:r>
          </w:p>
          <w:p w:rsidR="0075093C" w:rsidRPr="00450894" w:rsidRDefault="00AC532D" w:rsidP="00AC532D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</w:pPr>
            <w:r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  <w:t xml:space="preserve"> bodove </w:t>
            </w:r>
            <w:r w:rsidR="0075093C" w:rsidRPr="00450894"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  <w:t>%</w:t>
            </w:r>
          </w:p>
        </w:tc>
      </w:tr>
      <w:tr w:rsidR="0075093C" w:rsidRPr="00450894" w:rsidTr="0075093C">
        <w:trPr>
          <w:trHeight w:val="408"/>
        </w:trPr>
        <w:tc>
          <w:tcPr>
            <w:tcW w:w="281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</w:pPr>
          </w:p>
        </w:tc>
        <w:tc>
          <w:tcPr>
            <w:tcW w:w="108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rPr>
                <w:rFonts w:ascii="Calibri (Body)" w:eastAsia="Times New Roman" w:hAnsi="Calibri (Body)" w:cs="Times New Roman"/>
                <w:color w:val="FFFFFF"/>
                <w:sz w:val="20"/>
                <w:szCs w:val="20"/>
                <w:lang w:val="sq-AL"/>
              </w:rPr>
            </w:pPr>
          </w:p>
        </w:tc>
      </w:tr>
      <w:tr w:rsidR="0075093C" w:rsidRPr="00450894" w:rsidTr="0075093C">
        <w:trPr>
          <w:trHeight w:val="360"/>
        </w:trPr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CC5249" w:rsidRDefault="00AC532D" w:rsidP="0075093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>Prose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/>
              </w:rPr>
              <w:t>č</w:t>
            </w:r>
            <w:r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>an 35, 10 i</w:t>
            </w:r>
            <w:r w:rsidR="0075093C" w:rsidRPr="00CC5249"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 xml:space="preserve"> 0.4 kV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</w:pPr>
            <w:r w:rsidRPr="00B26335"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>98.31%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75093C" w:rsidRPr="00450894" w:rsidTr="0075093C">
        <w:trPr>
          <w:trHeight w:val="360"/>
        </w:trPr>
        <w:tc>
          <w:tcPr>
            <w:tcW w:w="2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CC5249" w:rsidRDefault="00AC532D" w:rsidP="0075093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>Prose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/>
              </w:rPr>
              <w:t>č</w:t>
            </w:r>
            <w:r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>an 10 i</w:t>
            </w:r>
            <w:r w:rsidR="0075093C" w:rsidRPr="00CC5249"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 xml:space="preserve"> 0.4 kV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</w:pPr>
            <w:r w:rsidRPr="00B26335"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>98.30%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</w:pPr>
            <w:r w:rsidRPr="00B1408C"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>0.01%</w:t>
            </w:r>
          </w:p>
        </w:tc>
      </w:tr>
      <w:tr w:rsidR="0075093C" w:rsidRPr="00450894" w:rsidTr="0075093C">
        <w:trPr>
          <w:trHeight w:val="360"/>
        </w:trPr>
        <w:tc>
          <w:tcPr>
            <w:tcW w:w="2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CC5249" w:rsidRDefault="00AC532D" w:rsidP="0075093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>Prose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/>
              </w:rPr>
              <w:t>č</w:t>
            </w:r>
            <w:r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>an</w:t>
            </w:r>
            <w:r w:rsidRPr="00CC5249"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r w:rsidR="0075093C" w:rsidRPr="00CC5249"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>0.4 kV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</w:pPr>
            <w:r w:rsidRPr="00B26335"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>98.16%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</w:pPr>
            <w:r w:rsidRPr="00B1408C"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  <w:lang w:val="sq-AL"/>
              </w:rPr>
              <w:t>0.15%</w:t>
            </w:r>
          </w:p>
        </w:tc>
      </w:tr>
    </w:tbl>
    <w:p w:rsidR="0075093C" w:rsidRPr="00CC5249" w:rsidRDefault="00AC532D" w:rsidP="0075093C">
      <w:pPr>
        <w:rPr>
          <w:color w:val="A5A5A5" w:themeColor="accent3"/>
          <w:sz w:val="18"/>
          <w:szCs w:val="18"/>
          <w:lang w:val="sq-AL"/>
        </w:rPr>
      </w:pPr>
      <w:r>
        <w:rPr>
          <w:color w:val="A5A5A5" w:themeColor="accent3"/>
          <w:sz w:val="18"/>
          <w:szCs w:val="18"/>
          <w:lang w:val="sq-AL"/>
        </w:rPr>
        <w:t>Izvor</w:t>
      </w:r>
      <w:r w:rsidR="0075093C" w:rsidRPr="00CC5249">
        <w:rPr>
          <w:color w:val="A5A5A5" w:themeColor="accent3"/>
          <w:sz w:val="18"/>
          <w:szCs w:val="18"/>
          <w:lang w:val="sq-AL"/>
        </w:rPr>
        <w:t xml:space="preserve">: </w:t>
      </w:r>
      <w:r w:rsidR="00962EA6">
        <w:rPr>
          <w:color w:val="A5A5A5" w:themeColor="accent3"/>
          <w:sz w:val="18"/>
          <w:szCs w:val="18"/>
          <w:lang w:val="sq-AL"/>
        </w:rPr>
        <w:t>Izračunavanje</w:t>
      </w:r>
      <w:r w:rsidR="00962EA6" w:rsidRPr="00962EA6">
        <w:rPr>
          <w:color w:val="A5A5A5" w:themeColor="accent3"/>
          <w:sz w:val="18"/>
          <w:szCs w:val="18"/>
          <w:lang w:val="sq-AL"/>
        </w:rPr>
        <w:t xml:space="preserve"> RUE na osnovu prihoda KESCO-a</w:t>
      </w:r>
    </w:p>
    <w:p w:rsidR="0075093C" w:rsidRPr="00450894" w:rsidRDefault="0046485A" w:rsidP="009277F3">
      <w:pPr>
        <w:jc w:val="both"/>
        <w:rPr>
          <w:lang w:val="sq-AL"/>
        </w:rPr>
      </w:pPr>
      <w:r>
        <w:rPr>
          <w:lang w:val="sq-AL"/>
        </w:rPr>
        <w:t>Trenutna</w:t>
      </w:r>
      <w:r w:rsidR="00962EA6" w:rsidRPr="00962EA6">
        <w:rPr>
          <w:lang w:val="sq-AL"/>
        </w:rPr>
        <w:t xml:space="preserve"> prosečna stop</w:t>
      </w:r>
      <w:r w:rsidR="00962EA6">
        <w:rPr>
          <w:lang w:val="sq-AL"/>
        </w:rPr>
        <w:t>a naplate uključujući sve potro</w:t>
      </w:r>
      <w:r w:rsidR="00962EA6">
        <w:rPr>
          <w:rFonts w:cstheme="minorHAnsi"/>
          <w:lang w:val="sq-AL"/>
        </w:rPr>
        <w:t>š</w:t>
      </w:r>
      <w:r w:rsidR="00962EA6">
        <w:rPr>
          <w:lang w:val="sq-AL"/>
        </w:rPr>
        <w:t>a</w:t>
      </w:r>
      <w:r w:rsidR="00962EA6">
        <w:rPr>
          <w:rFonts w:cstheme="minorHAnsi"/>
          <w:lang w:val="sq-AL"/>
        </w:rPr>
        <w:t>ć</w:t>
      </w:r>
      <w:r w:rsidR="00962EA6">
        <w:rPr>
          <w:lang w:val="sq-AL"/>
        </w:rPr>
        <w:t>e</w:t>
      </w:r>
      <w:r w:rsidR="00962EA6" w:rsidRPr="00962EA6">
        <w:rPr>
          <w:lang w:val="sq-AL"/>
        </w:rPr>
        <w:t xml:space="preserve"> univerzalnog snabdevanja u 2019. bila je 98,3%. Ponderisana prosečna stopa naplate za 10kV i 0,4 kV potrošače smanjuje se za 0,01%</w:t>
      </w:r>
      <w:r w:rsidR="005147FA">
        <w:rPr>
          <w:lang w:val="sq-AL"/>
        </w:rPr>
        <w:t xml:space="preserve"> pp nakon prilagođavanja potro</w:t>
      </w:r>
      <w:r w:rsidR="005147FA">
        <w:rPr>
          <w:rFonts w:cstheme="minorHAnsi"/>
          <w:lang w:val="sq-AL"/>
        </w:rPr>
        <w:t>š</w:t>
      </w:r>
      <w:r w:rsidR="005147FA">
        <w:rPr>
          <w:lang w:val="sq-AL"/>
        </w:rPr>
        <w:t>a</w:t>
      </w:r>
      <w:r w:rsidR="005147FA">
        <w:rPr>
          <w:rFonts w:cstheme="minorHAnsi"/>
          <w:lang w:val="sq-AL"/>
        </w:rPr>
        <w:t>ć</w:t>
      </w:r>
      <w:r w:rsidR="005147FA">
        <w:rPr>
          <w:lang w:val="sq-AL"/>
        </w:rPr>
        <w:t xml:space="preserve">a </w:t>
      </w:r>
      <w:r w:rsidR="00962EA6" w:rsidRPr="00962EA6">
        <w:rPr>
          <w:lang w:val="sq-AL"/>
        </w:rPr>
        <w:t xml:space="preserve">35 kV. Stopa naplate je smanjena </w:t>
      </w:r>
      <w:r w:rsidR="005147FA">
        <w:rPr>
          <w:lang w:val="sq-AL"/>
        </w:rPr>
        <w:t>za 0,15% pp deregulacijom potro</w:t>
      </w:r>
      <w:r w:rsidR="005147FA">
        <w:rPr>
          <w:rFonts w:cstheme="minorHAnsi"/>
          <w:lang w:val="sq-AL"/>
        </w:rPr>
        <w:t>š</w:t>
      </w:r>
      <w:r w:rsidR="005147FA">
        <w:rPr>
          <w:lang w:val="sq-AL"/>
        </w:rPr>
        <w:t>a</w:t>
      </w:r>
      <w:r w:rsidR="005147FA">
        <w:rPr>
          <w:rFonts w:cstheme="minorHAnsi"/>
          <w:lang w:val="sq-AL"/>
        </w:rPr>
        <w:t>ć</w:t>
      </w:r>
      <w:r w:rsidR="005147FA">
        <w:rPr>
          <w:lang w:val="sq-AL"/>
        </w:rPr>
        <w:t>a</w:t>
      </w:r>
      <w:r w:rsidR="00962EA6" w:rsidRPr="00962EA6">
        <w:rPr>
          <w:lang w:val="sq-AL"/>
        </w:rPr>
        <w:t xml:space="preserve"> 35kV i 10kV. Ovi proračuni sugerišu da KESCO predviđanja od 0,5% za prvu godinu izgleda precenjuju uticaj koji će deregulacija imati na potrošače.</w:t>
      </w:r>
    </w:p>
    <w:p w:rsidR="0075093C" w:rsidRDefault="005147FA" w:rsidP="009277F3">
      <w:pPr>
        <w:jc w:val="both"/>
        <w:rPr>
          <w:lang w:val="sq-AL"/>
        </w:rPr>
      </w:pPr>
      <w:r w:rsidRPr="005147FA">
        <w:rPr>
          <w:lang w:val="sq-AL"/>
        </w:rPr>
        <w:lastRenderedPageBreak/>
        <w:t>U sledećoj tabeli su predstavljeni predlozi RUE</w:t>
      </w:r>
      <w:r>
        <w:rPr>
          <w:lang w:val="sq-AL"/>
        </w:rPr>
        <w:t>-a</w:t>
      </w:r>
      <w:r w:rsidRPr="005147FA">
        <w:rPr>
          <w:lang w:val="sq-AL"/>
        </w:rPr>
        <w:t xml:space="preserve"> u vezi sa</w:t>
      </w:r>
      <w:r>
        <w:rPr>
          <w:lang w:val="sq-AL"/>
        </w:rPr>
        <w:t xml:space="preserve"> odobravanjem lošeg duga za SUU</w:t>
      </w:r>
      <w:r w:rsidRPr="005147FA">
        <w:rPr>
          <w:lang w:val="sq-AL"/>
        </w:rPr>
        <w:t>, na godišnjem nivou za sledeći tarifni period (2022-2024):</w:t>
      </w:r>
    </w:p>
    <w:p w:rsidR="0075093C" w:rsidRPr="00E742CD" w:rsidRDefault="0075093C" w:rsidP="0075093C">
      <w:pPr>
        <w:pStyle w:val="Caption"/>
        <w:rPr>
          <w:lang w:val="sq-AL"/>
        </w:rPr>
      </w:pPr>
      <w:r w:rsidRPr="00E742CD">
        <w:rPr>
          <w:lang w:val="sq-AL"/>
        </w:rPr>
        <w:t xml:space="preserve">Tabela  </w:t>
      </w:r>
      <w:r w:rsidRPr="00E742CD">
        <w:rPr>
          <w:lang w:val="sq-AL"/>
        </w:rPr>
        <w:fldChar w:fldCharType="begin"/>
      </w:r>
      <w:r w:rsidRPr="00E742CD">
        <w:rPr>
          <w:lang w:val="sq-AL"/>
        </w:rPr>
        <w:instrText xml:space="preserve"> SEQ Tabela_ \* ARABIC </w:instrText>
      </w:r>
      <w:r w:rsidRPr="00E742CD">
        <w:rPr>
          <w:lang w:val="sq-AL"/>
        </w:rPr>
        <w:fldChar w:fldCharType="separate"/>
      </w:r>
      <w:r w:rsidR="00AC532D">
        <w:rPr>
          <w:noProof/>
          <w:lang w:val="sq-AL"/>
        </w:rPr>
        <w:t>6</w:t>
      </w:r>
      <w:r w:rsidRPr="00E742CD">
        <w:rPr>
          <w:lang w:val="sq-AL"/>
        </w:rPr>
        <w:fldChar w:fldCharType="end"/>
      </w:r>
      <w:r w:rsidRPr="00E742CD">
        <w:rPr>
          <w:lang w:val="sq-AL"/>
        </w:rPr>
        <w:t xml:space="preserve"> </w:t>
      </w:r>
      <w:r w:rsidR="005147FA">
        <w:rPr>
          <w:lang w:val="sq-AL"/>
        </w:rPr>
        <w:t>Izra</w:t>
      </w:r>
      <w:r w:rsidR="005147FA" w:rsidRPr="005147FA">
        <w:rPr>
          <w:lang w:val="sq-AL"/>
        </w:rPr>
        <w:t>čun</w:t>
      </w:r>
      <w:r w:rsidR="005147FA">
        <w:rPr>
          <w:lang w:val="sq-AL"/>
        </w:rPr>
        <w:t>avanje</w:t>
      </w:r>
      <w:r w:rsidR="005147FA" w:rsidRPr="005147FA">
        <w:rPr>
          <w:lang w:val="sq-AL"/>
        </w:rPr>
        <w:t xml:space="preserve"> lošeg duga</w:t>
      </w:r>
    </w:p>
    <w:tbl>
      <w:tblPr>
        <w:tblW w:w="4574" w:type="pct"/>
        <w:tbl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7"/>
        <w:gridCol w:w="675"/>
        <w:gridCol w:w="637"/>
        <w:gridCol w:w="638"/>
        <w:gridCol w:w="636"/>
      </w:tblGrid>
      <w:tr w:rsidR="0075093C" w:rsidRPr="00450894" w:rsidTr="00D80ABE">
        <w:trPr>
          <w:trHeight w:val="300"/>
        </w:trPr>
        <w:tc>
          <w:tcPr>
            <w:tcW w:w="3493" w:type="pct"/>
            <w:shd w:val="clear" w:color="auto" w:fill="1F3864" w:themeFill="accent5" w:themeFillShade="80"/>
            <w:noWrap/>
            <w:vAlign w:val="center"/>
            <w:hideMark/>
          </w:tcPr>
          <w:p w:rsidR="0075093C" w:rsidRPr="00B26335" w:rsidRDefault="005147FA" w:rsidP="0075093C">
            <w:pPr>
              <w:keepNext/>
              <w:spacing w:after="0"/>
              <w:ind w:left="270"/>
              <w:rPr>
                <w:b/>
                <w:lang w:val="sq-AL"/>
              </w:rPr>
            </w:pPr>
            <w:r w:rsidRPr="005147FA">
              <w:rPr>
                <w:b/>
                <w:lang w:val="sq-AL"/>
              </w:rPr>
              <w:t>Komponenti lošeg duga</w:t>
            </w:r>
          </w:p>
        </w:tc>
        <w:tc>
          <w:tcPr>
            <w:tcW w:w="377" w:type="pct"/>
            <w:shd w:val="clear" w:color="auto" w:fill="1F3864" w:themeFill="accent5" w:themeFillShade="80"/>
            <w:vAlign w:val="center"/>
          </w:tcPr>
          <w:p w:rsidR="0075093C" w:rsidRPr="00B1408C" w:rsidRDefault="005147FA" w:rsidP="0075093C">
            <w:pPr>
              <w:keepNext/>
              <w:spacing w:after="0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Analiza</w:t>
            </w:r>
          </w:p>
        </w:tc>
        <w:tc>
          <w:tcPr>
            <w:tcW w:w="377" w:type="pct"/>
            <w:shd w:val="clear" w:color="auto" w:fill="1F3864" w:themeFill="accent5" w:themeFillShade="80"/>
            <w:vAlign w:val="center"/>
          </w:tcPr>
          <w:p w:rsidR="0075093C" w:rsidRPr="00450894" w:rsidRDefault="0075093C" w:rsidP="0075093C">
            <w:pPr>
              <w:keepNext/>
              <w:spacing w:after="0"/>
              <w:jc w:val="center"/>
              <w:rPr>
                <w:b/>
                <w:lang w:val="sq-AL"/>
              </w:rPr>
            </w:pPr>
            <w:r w:rsidRPr="00450894">
              <w:rPr>
                <w:b/>
                <w:lang w:val="sq-AL"/>
              </w:rPr>
              <w:t>2022</w:t>
            </w:r>
          </w:p>
        </w:tc>
        <w:tc>
          <w:tcPr>
            <w:tcW w:w="377" w:type="pct"/>
            <w:shd w:val="clear" w:color="auto" w:fill="1F3864" w:themeFill="accent5" w:themeFillShade="80"/>
            <w:noWrap/>
            <w:vAlign w:val="center"/>
            <w:hideMark/>
          </w:tcPr>
          <w:p w:rsidR="0075093C" w:rsidRPr="00450894" w:rsidRDefault="0075093C" w:rsidP="0075093C">
            <w:pPr>
              <w:keepNext/>
              <w:spacing w:after="0"/>
              <w:jc w:val="center"/>
              <w:rPr>
                <w:b/>
                <w:lang w:val="sq-AL"/>
              </w:rPr>
            </w:pPr>
            <w:r w:rsidRPr="00450894">
              <w:rPr>
                <w:b/>
                <w:lang w:val="sq-AL"/>
              </w:rPr>
              <w:t>2023</w:t>
            </w:r>
          </w:p>
        </w:tc>
        <w:tc>
          <w:tcPr>
            <w:tcW w:w="376" w:type="pct"/>
            <w:shd w:val="clear" w:color="auto" w:fill="1F3864" w:themeFill="accent5" w:themeFillShade="80"/>
            <w:vAlign w:val="center"/>
          </w:tcPr>
          <w:p w:rsidR="0075093C" w:rsidRPr="00450894" w:rsidRDefault="0075093C" w:rsidP="0075093C">
            <w:pPr>
              <w:keepNext/>
              <w:spacing w:after="0"/>
              <w:jc w:val="center"/>
              <w:rPr>
                <w:b/>
                <w:lang w:val="sq-AL"/>
              </w:rPr>
            </w:pPr>
            <w:r w:rsidRPr="00450894">
              <w:rPr>
                <w:b/>
                <w:lang w:val="sq-AL"/>
              </w:rPr>
              <w:t>2024</w:t>
            </w:r>
          </w:p>
        </w:tc>
      </w:tr>
      <w:tr w:rsidR="0075093C" w:rsidRPr="00450894" w:rsidTr="00D80ABE">
        <w:trPr>
          <w:trHeight w:val="288"/>
        </w:trPr>
        <w:tc>
          <w:tcPr>
            <w:tcW w:w="3493" w:type="pct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75093C" w:rsidRPr="00CC5249" w:rsidRDefault="0051030C" w:rsidP="0075093C">
            <w:pPr>
              <w:spacing w:after="0"/>
              <w:ind w:firstLineChars="100" w:firstLine="220"/>
              <w:rPr>
                <w:rFonts w:ascii="Calibri" w:hAnsi="Calibri" w:cs="Calibri"/>
                <w:color w:val="000000"/>
                <w:lang w:val="sq-AL"/>
              </w:rPr>
            </w:pPr>
            <w:r>
              <w:rPr>
                <w:rFonts w:ascii="Calibri" w:hAnsi="Calibri" w:cs="Calibri"/>
                <w:color w:val="000000"/>
                <w:lang w:val="sq-AL"/>
              </w:rPr>
              <w:t xml:space="preserve"> a. Smanjenje na Vrednosti</w:t>
            </w:r>
            <w:r w:rsidR="00E67D37">
              <w:rPr>
                <w:rFonts w:ascii="Calibri" w:hAnsi="Calibri" w:cs="Calibri"/>
                <w:color w:val="000000"/>
                <w:lang w:val="sq-AL"/>
              </w:rPr>
              <w:t>/</w:t>
            </w:r>
            <w:r>
              <w:rPr>
                <w:rFonts w:ascii="Calibri" w:hAnsi="Calibri" w:cs="Calibri"/>
                <w:color w:val="000000"/>
                <w:lang w:val="sq-AL"/>
              </w:rPr>
              <w:t>P za godine</w:t>
            </w:r>
            <w:r w:rsidR="0075093C" w:rsidRPr="00CC5249">
              <w:rPr>
                <w:rFonts w:ascii="Calibri" w:hAnsi="Calibri" w:cs="Calibri"/>
                <w:color w:val="000000"/>
                <w:lang w:val="sq-AL"/>
              </w:rPr>
              <w:t xml:space="preserve"> 2020-2021 </w:t>
            </w:r>
          </w:p>
        </w:tc>
        <w:tc>
          <w:tcPr>
            <w:tcW w:w="377" w:type="pct"/>
            <w:vAlign w:val="bottom"/>
          </w:tcPr>
          <w:p w:rsidR="0075093C" w:rsidRPr="00B26335" w:rsidRDefault="0075093C" w:rsidP="0075093C">
            <w:pPr>
              <w:spacing w:after="0"/>
              <w:jc w:val="center"/>
              <w:rPr>
                <w:rFonts w:ascii="Calibri" w:hAnsi="Calibri" w:cs="Calibri"/>
                <w:color w:val="000000"/>
                <w:lang w:val="sq-AL"/>
              </w:rPr>
            </w:pPr>
            <w:r w:rsidRPr="00B26335">
              <w:rPr>
                <w:rFonts w:ascii="Calibri" w:hAnsi="Calibri" w:cs="Calibri"/>
                <w:color w:val="000000"/>
                <w:lang w:val="sq-AL"/>
              </w:rPr>
              <w:t>2.21%</w:t>
            </w:r>
          </w:p>
        </w:tc>
        <w:tc>
          <w:tcPr>
            <w:tcW w:w="377" w:type="pct"/>
          </w:tcPr>
          <w:p w:rsidR="0075093C" w:rsidRPr="00B1408C" w:rsidRDefault="0075093C" w:rsidP="0075093C">
            <w:pPr>
              <w:spacing w:after="0"/>
              <w:jc w:val="center"/>
              <w:rPr>
                <w:rFonts w:ascii="Calibri" w:hAnsi="Calibri" w:cs="Calibri"/>
                <w:color w:val="000000"/>
                <w:lang w:val="sq-AL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5093C" w:rsidRPr="00B1408C" w:rsidRDefault="0075093C" w:rsidP="0075093C">
            <w:pPr>
              <w:spacing w:after="0"/>
              <w:jc w:val="center"/>
              <w:rPr>
                <w:rFonts w:ascii="Calibri" w:hAnsi="Calibri" w:cs="Calibri"/>
                <w:color w:val="000000"/>
                <w:lang w:val="sq-AL"/>
              </w:rPr>
            </w:pPr>
          </w:p>
        </w:tc>
        <w:tc>
          <w:tcPr>
            <w:tcW w:w="376" w:type="pct"/>
            <w:vAlign w:val="bottom"/>
          </w:tcPr>
          <w:p w:rsidR="0075093C" w:rsidRPr="00450894" w:rsidRDefault="0075093C" w:rsidP="0075093C">
            <w:pPr>
              <w:spacing w:after="0"/>
              <w:jc w:val="center"/>
              <w:rPr>
                <w:rFonts w:ascii="Calibri" w:hAnsi="Calibri" w:cs="Calibri"/>
                <w:color w:val="000000"/>
                <w:lang w:val="sq-AL"/>
              </w:rPr>
            </w:pPr>
          </w:p>
        </w:tc>
      </w:tr>
      <w:tr w:rsidR="0075093C" w:rsidRPr="00450894" w:rsidTr="00D80ABE">
        <w:trPr>
          <w:trHeight w:val="288"/>
        </w:trPr>
        <w:tc>
          <w:tcPr>
            <w:tcW w:w="3493" w:type="pct"/>
            <w:shd w:val="clear" w:color="auto" w:fill="auto"/>
            <w:noWrap/>
            <w:vAlign w:val="bottom"/>
            <w:hideMark/>
          </w:tcPr>
          <w:p w:rsidR="0075093C" w:rsidRPr="0051030C" w:rsidRDefault="0051030C" w:rsidP="0051030C">
            <w:pPr>
              <w:jc w:val="both"/>
              <w:rPr>
                <w:lang w:val="sq-AL"/>
              </w:rPr>
            </w:pPr>
            <w:r>
              <w:rPr>
                <w:rFonts w:ascii="Calibri" w:hAnsi="Calibri" w:cs="Calibri"/>
                <w:color w:val="000000"/>
                <w:lang w:val="sq-AL"/>
              </w:rPr>
              <w:t xml:space="preserve">b. </w:t>
            </w:r>
            <w:r w:rsidRPr="0051030C">
              <w:rPr>
                <w:rFonts w:ascii="Calibri" w:hAnsi="Calibri" w:cs="Calibri"/>
                <w:color w:val="000000"/>
                <w:lang w:val="sq-AL"/>
              </w:rPr>
              <w:t>Uticaj deregulacije</w:t>
            </w:r>
            <w:r>
              <w:rPr>
                <w:rFonts w:ascii="Calibri" w:hAnsi="Calibri" w:cs="Calibri"/>
                <w:color w:val="000000"/>
                <w:lang w:val="sq-AL"/>
              </w:rPr>
              <w:t xml:space="preserve"> </w:t>
            </w:r>
            <w:r>
              <w:rPr>
                <w:lang w:val="sq-AL"/>
              </w:rPr>
              <w:t xml:space="preserve">potrošača </w:t>
            </w:r>
            <w:r w:rsidR="0075093C" w:rsidRPr="00CC5249">
              <w:rPr>
                <w:rFonts w:ascii="Calibri" w:hAnsi="Calibri" w:cs="Calibri"/>
                <w:color w:val="000000"/>
                <w:lang w:val="sq-AL"/>
              </w:rPr>
              <w:t>(35</w:t>
            </w:r>
            <w:r>
              <w:rPr>
                <w:rFonts w:ascii="Calibri" w:hAnsi="Calibri" w:cs="Calibri"/>
                <w:color w:val="000000"/>
                <w:lang w:val="sq-AL"/>
              </w:rPr>
              <w:t>kV i</w:t>
            </w:r>
            <w:r w:rsidR="0075093C" w:rsidRPr="00CC5249">
              <w:rPr>
                <w:rFonts w:ascii="Calibri" w:hAnsi="Calibri" w:cs="Calibri"/>
                <w:color w:val="000000"/>
                <w:lang w:val="sq-AL"/>
              </w:rPr>
              <w:t xml:space="preserve"> 10kV)</w:t>
            </w:r>
          </w:p>
        </w:tc>
        <w:tc>
          <w:tcPr>
            <w:tcW w:w="377" w:type="pct"/>
            <w:vAlign w:val="bottom"/>
          </w:tcPr>
          <w:p w:rsidR="0075093C" w:rsidRPr="007F49D2" w:rsidRDefault="0075093C" w:rsidP="0075093C">
            <w:pPr>
              <w:spacing w:after="0"/>
              <w:jc w:val="center"/>
              <w:rPr>
                <w:rFonts w:ascii="Calibri" w:hAnsi="Calibri" w:cs="Calibri"/>
                <w:color w:val="000000"/>
                <w:lang w:val="sq-AL"/>
              </w:rPr>
            </w:pPr>
            <w:r w:rsidRPr="00B26335">
              <w:rPr>
                <w:rFonts w:ascii="Calibri" w:hAnsi="Calibri" w:cs="Calibri"/>
                <w:color w:val="000000"/>
                <w:lang w:val="sq-AL"/>
              </w:rPr>
              <w:t>0.15</w:t>
            </w:r>
            <w:r w:rsidRPr="007F49D2">
              <w:rPr>
                <w:rFonts w:ascii="Calibri" w:hAnsi="Calibri" w:cs="Calibri"/>
                <w:color w:val="000000"/>
                <w:lang w:val="sq-AL"/>
              </w:rPr>
              <w:t>%</w:t>
            </w:r>
          </w:p>
        </w:tc>
        <w:tc>
          <w:tcPr>
            <w:tcW w:w="377" w:type="pct"/>
          </w:tcPr>
          <w:p w:rsidR="0075093C" w:rsidRPr="00B1408C" w:rsidRDefault="0075093C" w:rsidP="0075093C">
            <w:pPr>
              <w:spacing w:after="0"/>
              <w:jc w:val="center"/>
              <w:rPr>
                <w:rFonts w:ascii="Calibri" w:hAnsi="Calibri" w:cs="Calibri"/>
                <w:color w:val="000000"/>
                <w:lang w:val="sq-AL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5093C" w:rsidRPr="00450894" w:rsidRDefault="0075093C" w:rsidP="0075093C">
            <w:pPr>
              <w:spacing w:after="0"/>
              <w:jc w:val="center"/>
              <w:rPr>
                <w:rFonts w:ascii="Calibri" w:hAnsi="Calibri" w:cs="Calibri"/>
                <w:color w:val="000000"/>
                <w:lang w:val="sq-AL"/>
              </w:rPr>
            </w:pPr>
          </w:p>
        </w:tc>
        <w:tc>
          <w:tcPr>
            <w:tcW w:w="376" w:type="pct"/>
            <w:vAlign w:val="bottom"/>
          </w:tcPr>
          <w:p w:rsidR="0075093C" w:rsidRPr="00450894" w:rsidRDefault="0075093C" w:rsidP="0075093C">
            <w:pPr>
              <w:spacing w:after="0"/>
              <w:jc w:val="center"/>
              <w:rPr>
                <w:rFonts w:ascii="Calibri" w:hAnsi="Calibri" w:cs="Calibri"/>
                <w:color w:val="000000"/>
                <w:lang w:val="sq-AL"/>
              </w:rPr>
            </w:pPr>
          </w:p>
        </w:tc>
      </w:tr>
      <w:tr w:rsidR="0075093C" w:rsidRPr="00450894" w:rsidTr="00D80ABE">
        <w:trPr>
          <w:trHeight w:val="288"/>
        </w:trPr>
        <w:tc>
          <w:tcPr>
            <w:tcW w:w="3493" w:type="pct"/>
            <w:shd w:val="clear" w:color="auto" w:fill="1F3864" w:themeFill="accent5" w:themeFillShade="80"/>
            <w:noWrap/>
            <w:vAlign w:val="bottom"/>
            <w:hideMark/>
          </w:tcPr>
          <w:p w:rsidR="0075093C" w:rsidRPr="00EF4D5D" w:rsidRDefault="0051030C" w:rsidP="0075093C">
            <w:pPr>
              <w:spacing w:after="0"/>
              <w:ind w:left="270"/>
              <w:rPr>
                <w:rFonts w:ascii="Calibri" w:hAnsi="Calibri" w:cs="Calibri"/>
                <w:b/>
                <w:bCs/>
                <w:color w:val="DDEBF7"/>
                <w:lang w:val="sq-AL"/>
              </w:rPr>
            </w:pPr>
            <w:r>
              <w:rPr>
                <w:rFonts w:ascii="Calibri" w:hAnsi="Calibri" w:cs="Calibri"/>
                <w:b/>
                <w:bCs/>
                <w:color w:val="DDEBF7"/>
                <w:lang w:val="sq-AL"/>
              </w:rPr>
              <w:t xml:space="preserve">c=(a+b) </w:t>
            </w:r>
            <w:r w:rsidRPr="0051030C">
              <w:rPr>
                <w:rFonts w:ascii="Calibri" w:hAnsi="Calibri" w:cs="Calibri"/>
                <w:b/>
                <w:bCs/>
                <w:color w:val="DDEBF7"/>
                <w:lang w:val="sq-AL"/>
              </w:rPr>
              <w:t>Predlog za odobravanje lošeg duga</w:t>
            </w:r>
          </w:p>
        </w:tc>
        <w:tc>
          <w:tcPr>
            <w:tcW w:w="377" w:type="pct"/>
            <w:shd w:val="clear" w:color="auto" w:fill="1F3864" w:themeFill="accent5" w:themeFillShade="80"/>
            <w:vAlign w:val="bottom"/>
          </w:tcPr>
          <w:p w:rsidR="0075093C" w:rsidRPr="00B26335" w:rsidRDefault="0075093C" w:rsidP="0075093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DDEBF7"/>
                <w:lang w:val="sq-AL"/>
              </w:rPr>
            </w:pPr>
            <w:r w:rsidRPr="00B26335">
              <w:rPr>
                <w:rFonts w:ascii="Calibri" w:hAnsi="Calibri" w:cs="Calibri"/>
                <w:b/>
                <w:bCs/>
                <w:color w:val="DDEBF7"/>
                <w:lang w:val="sq-AL"/>
              </w:rPr>
              <w:t>2.36 %</w:t>
            </w:r>
          </w:p>
        </w:tc>
        <w:tc>
          <w:tcPr>
            <w:tcW w:w="377" w:type="pct"/>
            <w:shd w:val="clear" w:color="auto" w:fill="1F3864" w:themeFill="accent5" w:themeFillShade="80"/>
          </w:tcPr>
          <w:p w:rsidR="0075093C" w:rsidRPr="00B1408C" w:rsidRDefault="0075093C" w:rsidP="0075093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DDEBF7"/>
                <w:lang w:val="sq-AL"/>
              </w:rPr>
            </w:pPr>
            <w:r w:rsidRPr="00B1408C">
              <w:rPr>
                <w:rFonts w:ascii="Calibri" w:hAnsi="Calibri" w:cs="Calibri"/>
                <w:b/>
                <w:bCs/>
                <w:color w:val="DDEBF7"/>
                <w:lang w:val="sq-AL"/>
              </w:rPr>
              <w:t>2.4%</w:t>
            </w:r>
          </w:p>
        </w:tc>
        <w:tc>
          <w:tcPr>
            <w:tcW w:w="377" w:type="pct"/>
            <w:shd w:val="clear" w:color="auto" w:fill="1F3864" w:themeFill="accent5" w:themeFillShade="80"/>
            <w:noWrap/>
            <w:vAlign w:val="bottom"/>
            <w:hideMark/>
          </w:tcPr>
          <w:p w:rsidR="0075093C" w:rsidRPr="00450894" w:rsidRDefault="0075093C" w:rsidP="0075093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DDEBF7"/>
                <w:lang w:val="sq-AL"/>
              </w:rPr>
            </w:pPr>
            <w:r w:rsidRPr="00450894">
              <w:rPr>
                <w:rFonts w:ascii="Calibri" w:hAnsi="Calibri" w:cs="Calibri"/>
                <w:b/>
                <w:bCs/>
                <w:color w:val="DDEBF7"/>
                <w:lang w:val="sq-AL"/>
              </w:rPr>
              <w:t>2.2%</w:t>
            </w:r>
          </w:p>
        </w:tc>
        <w:tc>
          <w:tcPr>
            <w:tcW w:w="376" w:type="pct"/>
            <w:shd w:val="clear" w:color="auto" w:fill="1F3864" w:themeFill="accent5" w:themeFillShade="80"/>
            <w:vAlign w:val="bottom"/>
          </w:tcPr>
          <w:p w:rsidR="0075093C" w:rsidRPr="00450894" w:rsidRDefault="0075093C" w:rsidP="0075093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DDEBF7"/>
                <w:lang w:val="sq-AL"/>
              </w:rPr>
            </w:pPr>
            <w:r w:rsidRPr="00450894">
              <w:rPr>
                <w:rFonts w:ascii="Calibri" w:hAnsi="Calibri" w:cs="Calibri"/>
                <w:b/>
                <w:bCs/>
                <w:color w:val="DDEBF7"/>
                <w:lang w:val="sq-AL"/>
              </w:rPr>
              <w:t>2.0%</w:t>
            </w:r>
          </w:p>
        </w:tc>
      </w:tr>
    </w:tbl>
    <w:p w:rsidR="0075093C" w:rsidRPr="00CC5249" w:rsidRDefault="0075093C" w:rsidP="0075093C">
      <w:pPr>
        <w:rPr>
          <w:lang w:val="sq-AL"/>
        </w:rPr>
      </w:pPr>
    </w:p>
    <w:p w:rsidR="0075093C" w:rsidRPr="007F49D2" w:rsidRDefault="00E67D37" w:rsidP="00E67D37">
      <w:pPr>
        <w:pStyle w:val="Heading2"/>
      </w:pPr>
      <w:bookmarkStart w:id="5" w:name="_Toc88226455"/>
      <w:r w:rsidRPr="00E67D37">
        <w:rPr>
          <w:lang w:val="sq-AL"/>
        </w:rPr>
        <w:t xml:space="preserve">Faktor podele neravnoteže </w:t>
      </w:r>
      <w:bookmarkEnd w:id="5"/>
    </w:p>
    <w:p w:rsidR="0075093C" w:rsidRPr="00EF4D5D" w:rsidRDefault="00E67D37" w:rsidP="009277F3">
      <w:pPr>
        <w:jc w:val="both"/>
        <w:rPr>
          <w:lang w:val="sq-AL"/>
        </w:rPr>
      </w:pPr>
      <w:r w:rsidRPr="00E67D37">
        <w:rPr>
          <w:lang w:val="sq-AL"/>
        </w:rPr>
        <w:t>Faktor razdvajanja neravnoteža predstavlja deo</w:t>
      </w:r>
      <w:r>
        <w:rPr>
          <w:lang w:val="sq-AL"/>
        </w:rPr>
        <w:t xml:space="preserve"> troškova balansiranja koje SUU</w:t>
      </w:r>
      <w:r w:rsidRPr="00E67D37">
        <w:rPr>
          <w:lang w:val="sq-AL"/>
        </w:rPr>
        <w:t xml:space="preserve"> m</w:t>
      </w:r>
      <w:r>
        <w:rPr>
          <w:lang w:val="sq-AL"/>
        </w:rPr>
        <w:t>ože da snosi prilago</w:t>
      </w:r>
      <w:r>
        <w:rPr>
          <w:rFonts w:cstheme="minorHAnsi"/>
          <w:lang w:val="sq-AL"/>
        </w:rPr>
        <w:t>đ</w:t>
      </w:r>
      <w:r>
        <w:rPr>
          <w:lang w:val="sq-AL"/>
        </w:rPr>
        <w:t>enim potro</w:t>
      </w:r>
      <w:r>
        <w:rPr>
          <w:rFonts w:cstheme="minorHAnsi"/>
          <w:lang w:val="sq-AL"/>
        </w:rPr>
        <w:t>š</w:t>
      </w:r>
      <w:r>
        <w:rPr>
          <w:lang w:val="sq-AL"/>
        </w:rPr>
        <w:t>a</w:t>
      </w:r>
      <w:r>
        <w:rPr>
          <w:rFonts w:cstheme="minorHAnsi"/>
          <w:lang w:val="sq-AL"/>
        </w:rPr>
        <w:t>ć</w:t>
      </w:r>
      <w:r>
        <w:rPr>
          <w:lang w:val="sq-AL"/>
        </w:rPr>
        <w:t>ima</w:t>
      </w:r>
      <w:r w:rsidRPr="00E67D37">
        <w:rPr>
          <w:lang w:val="sq-AL"/>
        </w:rPr>
        <w:t>. Troškovi balansiranja s</w:t>
      </w:r>
      <w:r>
        <w:rPr>
          <w:lang w:val="sq-AL"/>
        </w:rPr>
        <w:t>u oni troškovi koje SUU</w:t>
      </w:r>
      <w:r w:rsidRPr="00E67D37">
        <w:rPr>
          <w:lang w:val="sq-AL"/>
        </w:rPr>
        <w:t xml:space="preserve"> ima za razlike između njegovih trenutnih kupovina da bi</w:t>
      </w:r>
      <w:r>
        <w:rPr>
          <w:lang w:val="sq-AL"/>
        </w:rPr>
        <w:t xml:space="preserve"> se zadovoljila potražnja potro</w:t>
      </w:r>
      <w:r>
        <w:rPr>
          <w:rFonts w:cstheme="minorHAnsi"/>
          <w:lang w:val="sq-AL"/>
        </w:rPr>
        <w:t>š</w:t>
      </w:r>
      <w:r>
        <w:rPr>
          <w:lang w:val="sq-AL"/>
        </w:rPr>
        <w:t>a</w:t>
      </w:r>
      <w:r>
        <w:rPr>
          <w:rFonts w:cstheme="minorHAnsi"/>
          <w:lang w:val="sq-AL"/>
        </w:rPr>
        <w:t>ć</w:t>
      </w:r>
      <w:r>
        <w:rPr>
          <w:lang w:val="sq-AL"/>
        </w:rPr>
        <w:t>a</w:t>
      </w:r>
      <w:r w:rsidRPr="00E67D37">
        <w:rPr>
          <w:lang w:val="sq-AL"/>
        </w:rPr>
        <w:t xml:space="preserve"> i predviđeni nivoi. Na velikom i likvidnom tržištu</w:t>
      </w:r>
      <w:r>
        <w:rPr>
          <w:lang w:val="sq-AL"/>
        </w:rPr>
        <w:t xml:space="preserve"> električne energije, od snabdev</w:t>
      </w:r>
      <w:r w:rsidRPr="00E67D37">
        <w:rPr>
          <w:lang w:val="sq-AL"/>
        </w:rPr>
        <w:t>ača se očekuje da upravljaju ovim neusklađenostima kroz tačna predviđanja i kroz kupovinu i prodaju energije na likvidnim tržištima (</w:t>
      </w:r>
      <w:r>
        <w:rPr>
          <w:i/>
          <w:lang w:val="sq-AL"/>
        </w:rPr>
        <w:t>for</w:t>
      </w:r>
      <w:r w:rsidRPr="00E67D37">
        <w:rPr>
          <w:i/>
          <w:lang w:val="sq-AL"/>
        </w:rPr>
        <w:t>ward tržište</w:t>
      </w:r>
      <w:r w:rsidRPr="00E67D37">
        <w:rPr>
          <w:lang w:val="sq-AL"/>
        </w:rPr>
        <w:t>) tako da sve preostale neravnoteže budu svedene na minimum</w:t>
      </w:r>
      <w:r>
        <w:rPr>
          <w:lang w:val="sq-AL"/>
        </w:rPr>
        <w:t>.</w:t>
      </w:r>
    </w:p>
    <w:p w:rsidR="0075093C" w:rsidRPr="007F49D2" w:rsidRDefault="00E67D37" w:rsidP="0075093C">
      <w:pPr>
        <w:pStyle w:val="Heading3"/>
        <w:rPr>
          <w:lang w:val="sq-AL"/>
        </w:rPr>
      </w:pPr>
      <w:bookmarkStart w:id="6" w:name="_Toc88226456"/>
      <w:r>
        <w:rPr>
          <w:lang w:val="sq-AL"/>
        </w:rPr>
        <w:t>Aplikacija</w:t>
      </w:r>
      <w:r w:rsidR="0075093C" w:rsidRPr="00B26335">
        <w:rPr>
          <w:lang w:val="sq-AL"/>
        </w:rPr>
        <w:t xml:space="preserve"> </w:t>
      </w:r>
      <w:r w:rsidR="0075093C" w:rsidRPr="007F49D2">
        <w:rPr>
          <w:lang w:val="sq-AL"/>
        </w:rPr>
        <w:t>KESCO</w:t>
      </w:r>
      <w:bookmarkEnd w:id="6"/>
      <w:r>
        <w:rPr>
          <w:lang w:val="sq-AL"/>
        </w:rPr>
        <w:t>-a</w:t>
      </w:r>
    </w:p>
    <w:p w:rsidR="0075093C" w:rsidRPr="00450894" w:rsidRDefault="00E63B68" w:rsidP="009277F3">
      <w:pPr>
        <w:jc w:val="both"/>
        <w:rPr>
          <w:lang w:val="sq-AL"/>
        </w:rPr>
      </w:pPr>
      <w:r>
        <w:rPr>
          <w:lang w:val="sq-AL"/>
        </w:rPr>
        <w:t>KESCO je u svojoj aplikaciji</w:t>
      </w:r>
      <w:r w:rsidRPr="00E63B68">
        <w:rPr>
          <w:lang w:val="sq-AL"/>
        </w:rPr>
        <w:t xml:space="preserve"> izneo stav u vezi faktora podele neravnoteža i predlog njegovog nivoa koji se primenju</w:t>
      </w:r>
      <w:r>
        <w:rPr>
          <w:lang w:val="sq-AL"/>
        </w:rPr>
        <w:t>je na regulisane potrošače (SUU</w:t>
      </w:r>
      <w:r w:rsidRPr="00E63B68">
        <w:rPr>
          <w:lang w:val="sq-AL"/>
        </w:rPr>
        <w:t>). KESCO naglašava da uvek postoji neizvesnost u predviđanju potražnje potrošača, odnosno u kupovini tačne količine energije za ovu potražnju. Potražnja potrošača varira tokom godin</w:t>
      </w:r>
      <w:r>
        <w:rPr>
          <w:lang w:val="sq-AL"/>
        </w:rPr>
        <w:t>e, meseca i dana. Ako su snabdev</w:t>
      </w:r>
      <w:r w:rsidRPr="00E63B68">
        <w:rPr>
          <w:lang w:val="sq-AL"/>
        </w:rPr>
        <w:t>ači kupili ma</w:t>
      </w:r>
      <w:r>
        <w:rPr>
          <w:lang w:val="sq-AL"/>
        </w:rPr>
        <w:t xml:space="preserve">nje energije od potražnje </w:t>
      </w:r>
      <w:r w:rsidRPr="00E63B68">
        <w:rPr>
          <w:lang w:val="sq-AL"/>
        </w:rPr>
        <w:t xml:space="preserve">potrošača, </w:t>
      </w:r>
      <w:r>
        <w:rPr>
          <w:lang w:val="sq-AL"/>
        </w:rPr>
        <w:t xml:space="preserve"> </w:t>
      </w:r>
      <w:r w:rsidRPr="00E63B68">
        <w:rPr>
          <w:lang w:val="sq-AL"/>
        </w:rPr>
        <w:t xml:space="preserve"> oni imaju dodatne troškove, pored direktnih troškova kupovine </w:t>
      </w:r>
      <w:r w:rsidR="003A6CE3">
        <w:rPr>
          <w:lang w:val="sq-AL"/>
        </w:rPr>
        <w:t>veleprodajne energije. Ako su snabdeva</w:t>
      </w:r>
      <w:r w:rsidRPr="00E63B68">
        <w:rPr>
          <w:lang w:val="sq-AL"/>
        </w:rPr>
        <w:t>či kupili v</w:t>
      </w:r>
      <w:r w:rsidR="003A6CE3">
        <w:rPr>
          <w:lang w:val="sq-AL"/>
        </w:rPr>
        <w:t xml:space="preserve">iše energije od potražnje </w:t>
      </w:r>
      <w:r w:rsidR="003A6CE3" w:rsidRPr="00E63B68">
        <w:rPr>
          <w:lang w:val="sq-AL"/>
        </w:rPr>
        <w:t>potrošača</w:t>
      </w:r>
      <w:r w:rsidRPr="00E63B68">
        <w:rPr>
          <w:lang w:val="sq-AL"/>
        </w:rPr>
        <w:t>, oni mogu prihvatiti plaćanje, ali to može biti drugačije i niže od njihove veleprodaje</w:t>
      </w:r>
      <w:r w:rsidR="0075093C" w:rsidRPr="00B26335">
        <w:rPr>
          <w:lang w:val="sq-AL"/>
        </w:rPr>
        <w:t xml:space="preserve">. </w:t>
      </w:r>
      <w:r w:rsidR="003A6CE3">
        <w:rPr>
          <w:lang w:val="sq-AL"/>
        </w:rPr>
        <w:t>Sa ovog pogleda</w:t>
      </w:r>
      <w:r w:rsidR="003A6CE3" w:rsidRPr="003A6CE3">
        <w:rPr>
          <w:lang w:val="sq-AL"/>
        </w:rPr>
        <w:t xml:space="preserve">, postoji rizik od </w:t>
      </w:r>
      <w:r w:rsidR="003A6CE3">
        <w:rPr>
          <w:lang w:val="sq-AL"/>
        </w:rPr>
        <w:t>gubitka i/ili dobiti za snabdeva</w:t>
      </w:r>
      <w:r w:rsidR="003A6CE3" w:rsidRPr="003A6CE3">
        <w:rPr>
          <w:lang w:val="sq-AL"/>
        </w:rPr>
        <w:t>če, u zavisnosti od tržišnih uslova. Da b</w:t>
      </w:r>
      <w:r w:rsidR="003A6CE3">
        <w:rPr>
          <w:lang w:val="sq-AL"/>
        </w:rPr>
        <w:t>i se izbegla izloženost snabdevača većem riziku, kroz kojima bih snabdeva</w:t>
      </w:r>
      <w:r w:rsidR="003A6CE3" w:rsidRPr="003A6CE3">
        <w:rPr>
          <w:lang w:val="sq-AL"/>
        </w:rPr>
        <w:t>či</w:t>
      </w:r>
      <w:r w:rsidR="003A6CE3">
        <w:rPr>
          <w:lang w:val="sq-AL"/>
        </w:rPr>
        <w:t>ma bilo</w:t>
      </w:r>
      <w:r w:rsidR="003A6CE3" w:rsidRPr="003A6CE3">
        <w:rPr>
          <w:lang w:val="sq-AL"/>
        </w:rPr>
        <w:t xml:space="preserve"> nemoguć</w:t>
      </w:r>
      <w:r w:rsidR="003A6CE3">
        <w:rPr>
          <w:lang w:val="sq-AL"/>
        </w:rPr>
        <w:t>e</w:t>
      </w:r>
      <w:r w:rsidR="003A6CE3" w:rsidRPr="003A6CE3">
        <w:rPr>
          <w:lang w:val="sq-AL"/>
        </w:rPr>
        <w:t xml:space="preserve"> da povrate svoje operativne troškove</w:t>
      </w:r>
      <w:r w:rsidR="003A6CE3">
        <w:rPr>
          <w:lang w:val="sq-AL"/>
        </w:rPr>
        <w:t xml:space="preserve">, regulatori podržavaju snabdevače uvođenjem faktora podele </w:t>
      </w:r>
      <w:r w:rsidR="003A6CE3" w:rsidRPr="003A6CE3">
        <w:rPr>
          <w:lang w:val="sq-AL"/>
        </w:rPr>
        <w:t>neravnoteže. Stvaranjem istorijsk</w:t>
      </w:r>
      <w:r w:rsidR="003A6CE3">
        <w:rPr>
          <w:lang w:val="sq-AL"/>
        </w:rPr>
        <w:t>og trenda tokom godina, snabdeva</w:t>
      </w:r>
      <w:r w:rsidR="003A6CE3" w:rsidRPr="003A6CE3">
        <w:rPr>
          <w:lang w:val="sq-AL"/>
        </w:rPr>
        <w:t>či mogu bolje da predvide i upravljaju ovim troškovima, a Regulator može odlučiti da promeni fiksni procenat koji se prime</w:t>
      </w:r>
      <w:r w:rsidR="003A6CE3">
        <w:rPr>
          <w:lang w:val="sq-AL"/>
        </w:rPr>
        <w:t xml:space="preserve">njuje na neto troškove </w:t>
      </w:r>
      <w:r w:rsidR="003A6CE3" w:rsidRPr="003A6CE3">
        <w:rPr>
          <w:lang w:val="sq-AL"/>
        </w:rPr>
        <w:t>neravnoteže</w:t>
      </w:r>
      <w:r w:rsidR="003A6CE3">
        <w:rPr>
          <w:lang w:val="sq-AL"/>
        </w:rPr>
        <w:t xml:space="preserve"> (faktor podele</w:t>
      </w:r>
      <w:r w:rsidR="003A6CE3" w:rsidRPr="003A6CE3">
        <w:rPr>
          <w:lang w:val="sq-AL"/>
        </w:rPr>
        <w:t xml:space="preserve"> neravnoteže), jer se pretpostavlja da će</w:t>
      </w:r>
      <w:r w:rsidR="003A6CE3">
        <w:rPr>
          <w:lang w:val="sq-AL"/>
        </w:rPr>
        <w:t xml:space="preserve"> dozvoliti podela između snabdevača i potrošača</w:t>
      </w:r>
      <w:r w:rsidR="003A6CE3" w:rsidRPr="003A6CE3">
        <w:rPr>
          <w:lang w:val="sq-AL"/>
        </w:rPr>
        <w:t xml:space="preserve"> će</w:t>
      </w:r>
      <w:r w:rsidR="003A6CE3">
        <w:rPr>
          <w:lang w:val="sq-AL"/>
        </w:rPr>
        <w:t xml:space="preserve"> povećati podsticaje za snabdevače</w:t>
      </w:r>
      <w:r w:rsidR="003A6CE3" w:rsidRPr="003A6CE3">
        <w:rPr>
          <w:lang w:val="sq-AL"/>
        </w:rPr>
        <w:t xml:space="preserve"> da preciznije upravlja svojim </w:t>
      </w:r>
      <w:r w:rsidR="003A6CE3">
        <w:rPr>
          <w:lang w:val="sq-AL"/>
        </w:rPr>
        <w:t>ravnote</w:t>
      </w:r>
      <w:r w:rsidR="003A6CE3">
        <w:rPr>
          <w:rFonts w:cstheme="minorHAnsi"/>
          <w:lang w:val="sq-AL"/>
        </w:rPr>
        <w:t>ž</w:t>
      </w:r>
      <w:r w:rsidR="003A6CE3">
        <w:rPr>
          <w:lang w:val="sq-AL"/>
        </w:rPr>
        <w:t>om.</w:t>
      </w:r>
    </w:p>
    <w:p w:rsidR="0075093C" w:rsidRPr="00450894" w:rsidRDefault="003A6CE3" w:rsidP="009277F3">
      <w:pPr>
        <w:jc w:val="both"/>
        <w:rPr>
          <w:lang w:val="sq-AL"/>
        </w:rPr>
      </w:pPr>
      <w:r w:rsidRPr="003A6CE3">
        <w:rPr>
          <w:lang w:val="sq-AL"/>
        </w:rPr>
        <w:t>KESCO u predlogu faktora podele neravnoteža naglašava da ograničen pristup broju i raznovrsnosti izvora proizvodnje, kao i zavisnost od proizvodnih jedinica koje su stare i nefleksibilne, ograničava sposobnost sistema da bude uravnotežen i ima minimalne troškove.</w:t>
      </w:r>
      <w:r w:rsidR="0075093C" w:rsidRPr="00450894">
        <w:rPr>
          <w:lang w:val="sq-AL"/>
        </w:rPr>
        <w:t xml:space="preserve"> </w:t>
      </w:r>
    </w:p>
    <w:p w:rsidR="0075093C" w:rsidRPr="00450894" w:rsidRDefault="003A6CE3" w:rsidP="009277F3">
      <w:pPr>
        <w:jc w:val="both"/>
        <w:rPr>
          <w:lang w:val="sq-AL"/>
        </w:rPr>
      </w:pPr>
      <w:r w:rsidRPr="003A6CE3">
        <w:rPr>
          <w:lang w:val="sq-AL"/>
        </w:rPr>
        <w:t>Stoga, uzimajući u obzir razvoj tržišta (produktivni potrošači, otvaranje tržiš</w:t>
      </w:r>
      <w:r>
        <w:rPr>
          <w:lang w:val="sq-AL"/>
        </w:rPr>
        <w:t>ta i mogućnost promene snabdeva</w:t>
      </w:r>
      <w:r w:rsidRPr="003A6CE3">
        <w:rPr>
          <w:lang w:val="sq-AL"/>
        </w:rPr>
        <w:t>ča), KESCO veruje da faktor podele neravnoteže treba nastaviti da se primenjuje kao 100% najmanje do sledećeg periodičnog</w:t>
      </w:r>
      <w:r>
        <w:rPr>
          <w:lang w:val="sq-AL"/>
        </w:rPr>
        <w:t xml:space="preserve"> razmatranja</w:t>
      </w:r>
      <w:r w:rsidR="0075093C" w:rsidRPr="00450894">
        <w:rPr>
          <w:lang w:val="sq-AL"/>
        </w:rPr>
        <w:t>.</w:t>
      </w:r>
    </w:p>
    <w:p w:rsidR="0075093C" w:rsidRPr="00450894" w:rsidRDefault="003A6CE3" w:rsidP="0075093C">
      <w:pPr>
        <w:pStyle w:val="Heading3"/>
        <w:rPr>
          <w:lang w:val="sq-AL"/>
        </w:rPr>
      </w:pPr>
      <w:bookmarkStart w:id="7" w:name="_Toc88226457"/>
      <w:r>
        <w:rPr>
          <w:lang w:val="sq-AL"/>
        </w:rPr>
        <w:lastRenderedPageBreak/>
        <w:t>Predlog</w:t>
      </w:r>
      <w:r w:rsidR="0075093C" w:rsidRPr="00450894">
        <w:rPr>
          <w:lang w:val="sq-AL"/>
        </w:rPr>
        <w:t xml:space="preserve"> </w:t>
      </w:r>
      <w:bookmarkEnd w:id="7"/>
      <w:r>
        <w:rPr>
          <w:lang w:val="sq-AL"/>
        </w:rPr>
        <w:t>RUE-a</w:t>
      </w:r>
    </w:p>
    <w:p w:rsidR="0075093C" w:rsidRPr="00450894" w:rsidRDefault="009E3547" w:rsidP="009277F3">
      <w:pPr>
        <w:jc w:val="both"/>
        <w:rPr>
          <w:lang w:val="sq-AL"/>
        </w:rPr>
      </w:pPr>
      <w:r w:rsidRPr="009E3547">
        <w:rPr>
          <w:lang w:val="sq-AL"/>
        </w:rPr>
        <w:t>Pošto se ne očekuje značajna promena u sposobnosti KESCO-a da upravlja neravnotežama pre 2023. godine, nije opravdana nik</w:t>
      </w:r>
      <w:r>
        <w:rPr>
          <w:lang w:val="sq-AL"/>
        </w:rPr>
        <w:t>akva promena u faktoru podele</w:t>
      </w:r>
      <w:r w:rsidRPr="009E3547">
        <w:rPr>
          <w:lang w:val="sq-AL"/>
        </w:rPr>
        <w:t xml:space="preserve"> neravnoteže. Smanjenje nakon 2023., izlažući KESCO većem riziku od troškova neravnoteže, mo</w:t>
      </w:r>
      <w:r>
        <w:rPr>
          <w:lang w:val="sq-AL"/>
        </w:rPr>
        <w:t>glo bi biti opravdano ako ALPEX</w:t>
      </w:r>
      <w:r w:rsidRPr="009E3547">
        <w:rPr>
          <w:lang w:val="sq-AL"/>
        </w:rPr>
        <w:t xml:space="preserve"> bude u potpunosti operativan.</w:t>
      </w:r>
    </w:p>
    <w:p w:rsidR="0075093C" w:rsidRPr="00B1408C" w:rsidRDefault="009E3547" w:rsidP="009277F3">
      <w:pPr>
        <w:jc w:val="both"/>
        <w:rPr>
          <w:lang w:val="sq-AL"/>
        </w:rPr>
      </w:pPr>
      <w:r w:rsidRPr="009E3547">
        <w:rPr>
          <w:lang w:val="sq-AL"/>
        </w:rPr>
        <w:t>Dana 5. oktobra</w:t>
      </w:r>
      <w:r>
        <w:rPr>
          <w:lang w:val="sq-AL"/>
        </w:rPr>
        <w:t xml:space="preserve"> 2020. godine, odgovarajući ODS</w:t>
      </w:r>
      <w:r w:rsidRPr="009E3547">
        <w:rPr>
          <w:lang w:val="sq-AL"/>
        </w:rPr>
        <w:t xml:space="preserve"> Kosova i Albanije potpisali su akcionarski sporazum i statut za uspostavljanje zajedničkog op</w:t>
      </w:r>
      <w:r>
        <w:rPr>
          <w:lang w:val="sq-AL"/>
        </w:rPr>
        <w:t>eratera razmene energije, ALPEX</w:t>
      </w:r>
      <w:r w:rsidRPr="009E3547">
        <w:rPr>
          <w:lang w:val="sq-AL"/>
        </w:rPr>
        <w:t>, koji će funkcionisati na tržištu dan unapred i unutar dnevnog pokrivanja električnom energijom koje pokriva Kosovo i Albaniju. O</w:t>
      </w:r>
      <w:r>
        <w:rPr>
          <w:lang w:val="sq-AL"/>
        </w:rPr>
        <w:t>čekuje se da će osnivanje ALPEX</w:t>
      </w:r>
      <w:r w:rsidRPr="009E3547">
        <w:rPr>
          <w:lang w:val="sq-AL"/>
        </w:rPr>
        <w:t>-a rešiti mnoga ograničenja sa kojima se suočava tržište električne energije na K</w:t>
      </w:r>
      <w:r w:rsidR="003B169A">
        <w:rPr>
          <w:lang w:val="sq-AL"/>
        </w:rPr>
        <w:t>osovu, omogućavajući mu da ulazi</w:t>
      </w:r>
      <w:r w:rsidRPr="009E3547">
        <w:rPr>
          <w:lang w:val="sq-AL"/>
        </w:rPr>
        <w:t xml:space="preserve"> na mnogo veće tržište sa fleksibilnijim kapacitetom snabdevanja.</w:t>
      </w:r>
    </w:p>
    <w:p w:rsidR="0075093C" w:rsidRPr="00450894" w:rsidRDefault="009E3547" w:rsidP="009277F3">
      <w:pPr>
        <w:jc w:val="both"/>
        <w:rPr>
          <w:lang w:val="sq-AL"/>
        </w:rPr>
      </w:pPr>
      <w:r w:rsidRPr="009E3547">
        <w:rPr>
          <w:lang w:val="sq-AL"/>
        </w:rPr>
        <w:t xml:space="preserve">Međutim, </w:t>
      </w:r>
      <w:r>
        <w:rPr>
          <w:lang w:val="sq-AL"/>
        </w:rPr>
        <w:t>može proći neko vreme da ALPEX</w:t>
      </w:r>
      <w:r w:rsidRPr="009E3547">
        <w:rPr>
          <w:lang w:val="sq-AL"/>
        </w:rPr>
        <w:t xml:space="preserve"> postane operativan i trenutno njegovo lansiranje ostaje nepoznato, kao ni tržišne stope i likvidnost su trenutno nepoznati. S obzirom na ovo, nerealno je očekivati da će KESCO ili drugi učesnici na trži</w:t>
      </w:r>
      <w:r>
        <w:rPr>
          <w:lang w:val="sq-AL"/>
        </w:rPr>
        <w:t>štu moći da se oslone na ALPEX u upravljanju neravnote</w:t>
      </w:r>
      <w:r>
        <w:rPr>
          <w:rFonts w:cstheme="minorHAnsi"/>
          <w:lang w:val="sq-AL"/>
        </w:rPr>
        <w:t>ž</w:t>
      </w:r>
      <w:r>
        <w:rPr>
          <w:lang w:val="sq-AL"/>
        </w:rPr>
        <w:t>a</w:t>
      </w:r>
      <w:r w:rsidRPr="009E3547">
        <w:rPr>
          <w:lang w:val="sq-AL"/>
        </w:rPr>
        <w:t xml:space="preserve"> niskih troškova u periodu do 2023. godine.</w:t>
      </w:r>
    </w:p>
    <w:p w:rsidR="0075093C" w:rsidRPr="00450894" w:rsidRDefault="009E3547" w:rsidP="009277F3">
      <w:pPr>
        <w:jc w:val="both"/>
        <w:rPr>
          <w:lang w:val="sq-AL"/>
        </w:rPr>
      </w:pPr>
      <w:r w:rsidRPr="009E3547">
        <w:rPr>
          <w:lang w:val="sq-AL"/>
        </w:rPr>
        <w:t>Međutim, tržište električne energije na Kosovu je malo i nelikvidno. Učestvuje samo mali broj proizvođača, koji su uglavnom nefleksibilni i ne mogu lako da prilagode proizvodnju, a uvozni ugovori se i dalje suočavaju sa ograničenjima. S obzirom na ovo, faktor podele neravnoteže je trenutno postavljen na 100%, što znač</w:t>
      </w:r>
      <w:r>
        <w:rPr>
          <w:lang w:val="sq-AL"/>
        </w:rPr>
        <w:t>i da se svi troškovi ravnote</w:t>
      </w:r>
      <w:r>
        <w:rPr>
          <w:rFonts w:cstheme="minorHAnsi"/>
          <w:lang w:val="sq-AL"/>
        </w:rPr>
        <w:t>ž</w:t>
      </w:r>
      <w:r>
        <w:rPr>
          <w:lang w:val="sq-AL"/>
        </w:rPr>
        <w:t xml:space="preserve">a </w:t>
      </w:r>
      <w:r w:rsidRPr="009E3547">
        <w:rPr>
          <w:lang w:val="sq-AL"/>
        </w:rPr>
        <w:t>prenose na potrošače (bilo pozitivne ili negativne), s obzirom na to da KESCO ima malo mogućnosti da reguliše kupovinu energije pre vremena kako bi zadovoljio potražnju</w:t>
      </w:r>
      <w:r>
        <w:rPr>
          <w:lang w:val="sq-AL"/>
        </w:rPr>
        <w:t>.</w:t>
      </w:r>
      <w:r w:rsidR="0075093C" w:rsidRPr="00450894">
        <w:rPr>
          <w:lang w:val="sq-AL"/>
        </w:rPr>
        <w:t xml:space="preserve"> </w:t>
      </w:r>
    </w:p>
    <w:p w:rsidR="0075093C" w:rsidRPr="00450894" w:rsidRDefault="00677770" w:rsidP="009277F3">
      <w:pPr>
        <w:jc w:val="both"/>
        <w:rPr>
          <w:lang w:val="sq-AL"/>
        </w:rPr>
      </w:pPr>
      <w:r w:rsidRPr="00677770">
        <w:rPr>
          <w:lang w:val="sq-AL"/>
        </w:rPr>
        <w:t>Na osnovu objašnjenja u vezi sa trenutnim okolnostima i očekivanjima za integr</w:t>
      </w:r>
      <w:r w:rsidR="00D8789A">
        <w:rPr>
          <w:lang w:val="sq-AL"/>
        </w:rPr>
        <w:t>aciju u zajedničko tržište ALPEX</w:t>
      </w:r>
      <w:r w:rsidRPr="00677770">
        <w:rPr>
          <w:lang w:val="sq-AL"/>
        </w:rPr>
        <w:t>-a, RUE se slaže sa KESCO-ovim pr</w:t>
      </w:r>
      <w:r w:rsidR="00D8789A">
        <w:rPr>
          <w:lang w:val="sq-AL"/>
        </w:rPr>
        <w:t>edlogom da isti faktor podele</w:t>
      </w:r>
      <w:r w:rsidRPr="00677770">
        <w:rPr>
          <w:lang w:val="sq-AL"/>
        </w:rPr>
        <w:t xml:space="preserve"> od 100% treba da se zadrži za period od 2022. do 2024. godine, s obzirom da će ove okolnosti nas</w:t>
      </w:r>
      <w:r w:rsidR="00D8789A">
        <w:rPr>
          <w:lang w:val="sq-AL"/>
        </w:rPr>
        <w:t>taviti da dominiraju na doma</w:t>
      </w:r>
      <w:r w:rsidR="00D8789A">
        <w:rPr>
          <w:rFonts w:cstheme="minorHAnsi"/>
          <w:lang w:val="sq-AL"/>
        </w:rPr>
        <w:t>ć</w:t>
      </w:r>
      <w:r w:rsidR="00D8789A">
        <w:rPr>
          <w:lang w:val="sq-AL"/>
        </w:rPr>
        <w:t>em</w:t>
      </w:r>
      <w:r w:rsidR="00D8789A" w:rsidRPr="00D8789A">
        <w:t xml:space="preserve"> </w:t>
      </w:r>
      <w:r w:rsidR="00D8789A" w:rsidRPr="00D8789A">
        <w:rPr>
          <w:lang w:val="sq-AL"/>
        </w:rPr>
        <w:t>energetskom tržištu.</w:t>
      </w:r>
    </w:p>
    <w:p w:rsidR="0075093C" w:rsidRPr="00F424E7" w:rsidRDefault="002C5003" w:rsidP="002C5003">
      <w:pPr>
        <w:pStyle w:val="Heading1"/>
        <w:rPr>
          <w:sz w:val="24"/>
        </w:rPr>
      </w:pPr>
      <w:bookmarkStart w:id="8" w:name="_Toc88226458"/>
      <w:r w:rsidRPr="00F424E7">
        <w:rPr>
          <w:sz w:val="24"/>
          <w:lang w:val="sq-AL"/>
        </w:rPr>
        <w:t xml:space="preserve">Operativni i troškovi održavanja </w:t>
      </w:r>
      <w:bookmarkEnd w:id="8"/>
    </w:p>
    <w:p w:rsidR="0075093C" w:rsidRPr="00450894" w:rsidRDefault="002C5003" w:rsidP="006C04F5">
      <w:pPr>
        <w:jc w:val="both"/>
        <w:rPr>
          <w:lang w:val="sq-AL"/>
        </w:rPr>
      </w:pPr>
      <w:r w:rsidRPr="002C5003">
        <w:rPr>
          <w:lang w:val="sq-AL"/>
        </w:rPr>
        <w:t>Dozvoljeni maloprodajni t</w:t>
      </w:r>
      <w:r>
        <w:rPr>
          <w:lang w:val="sq-AL"/>
        </w:rPr>
        <w:t>roškovi Snabdeva</w:t>
      </w:r>
      <w:r>
        <w:rPr>
          <w:rFonts w:cstheme="minorHAnsi"/>
          <w:lang w:val="sq-AL"/>
        </w:rPr>
        <w:t>č</w:t>
      </w:r>
      <w:r>
        <w:rPr>
          <w:lang w:val="sq-AL"/>
        </w:rPr>
        <w:t>a Univerzalnih Usluga</w:t>
      </w:r>
      <w:r w:rsidRPr="002C5003">
        <w:rPr>
          <w:lang w:val="sq-AL"/>
        </w:rPr>
        <w:t xml:space="preserve"> uključuju operativne troškove i troškove održavanja, korporativne troškove, troškove amortizacije i druge troškov</w:t>
      </w:r>
      <w:r w:rsidR="000B6510">
        <w:rPr>
          <w:lang w:val="sq-AL"/>
        </w:rPr>
        <w:t>e van kontrole licenciranih</w:t>
      </w:r>
      <w:r w:rsidRPr="002C5003">
        <w:rPr>
          <w:lang w:val="sq-AL"/>
        </w:rPr>
        <w:t>. Ovaj deo izveštaja p</w:t>
      </w:r>
      <w:r>
        <w:rPr>
          <w:lang w:val="sq-AL"/>
        </w:rPr>
        <w:t>redstavlja aplikaciju KESCO-SUU</w:t>
      </w:r>
      <w:r w:rsidRPr="002C5003">
        <w:rPr>
          <w:lang w:val="sq-AL"/>
        </w:rPr>
        <w:t xml:space="preserve"> i predloge RUE</w:t>
      </w:r>
      <w:r>
        <w:rPr>
          <w:lang w:val="sq-AL"/>
        </w:rPr>
        <w:t>-a</w:t>
      </w:r>
      <w:r w:rsidRPr="002C5003">
        <w:rPr>
          <w:lang w:val="sq-AL"/>
        </w:rPr>
        <w:t xml:space="preserve"> za dozvoljene maloprodajne troškove, kao što je definisano u definici</w:t>
      </w:r>
      <w:r>
        <w:rPr>
          <w:lang w:val="sq-AL"/>
        </w:rPr>
        <w:t>ji datoj u članu 14. Pravila o Prihodima SUU-a</w:t>
      </w:r>
      <w:r w:rsidRPr="002C5003">
        <w:rPr>
          <w:lang w:val="sq-AL"/>
        </w:rPr>
        <w:t>.</w:t>
      </w:r>
    </w:p>
    <w:p w:rsidR="0075093C" w:rsidRPr="00450894" w:rsidRDefault="002C5003" w:rsidP="0075093C">
      <w:pPr>
        <w:pStyle w:val="Heading2"/>
        <w:rPr>
          <w:lang w:val="sq-AL"/>
        </w:rPr>
      </w:pPr>
      <w:bookmarkStart w:id="9" w:name="_Toc88226459"/>
      <w:r>
        <w:rPr>
          <w:lang w:val="sq-AL"/>
        </w:rPr>
        <w:t>Aplikacija</w:t>
      </w:r>
      <w:r w:rsidR="0075093C" w:rsidRPr="00450894">
        <w:rPr>
          <w:lang w:val="sq-AL"/>
        </w:rPr>
        <w:t xml:space="preserve"> KESCO-</w:t>
      </w:r>
      <w:bookmarkEnd w:id="9"/>
      <w:r>
        <w:rPr>
          <w:lang w:val="sq-AL"/>
        </w:rPr>
        <w:t>a</w:t>
      </w:r>
    </w:p>
    <w:p w:rsidR="0075093C" w:rsidRDefault="008E59DF" w:rsidP="006C04F5">
      <w:pPr>
        <w:jc w:val="both"/>
        <w:rPr>
          <w:lang w:val="sq-AL"/>
        </w:rPr>
      </w:pPr>
      <w:r w:rsidRPr="008E59DF">
        <w:rPr>
          <w:lang w:val="sq-AL"/>
        </w:rPr>
        <w:t>Od funkcionalnog i pravnog razdvajanja delatnosti distribucije u 2015. godini, prosečni operativni troškovi i troškovi o</w:t>
      </w:r>
      <w:r>
        <w:rPr>
          <w:lang w:val="sq-AL"/>
        </w:rPr>
        <w:t>državanja dozvoljeni za Snabdeva</w:t>
      </w:r>
      <w:r>
        <w:rPr>
          <w:rFonts w:cstheme="minorHAnsi"/>
          <w:lang w:val="sq-AL"/>
        </w:rPr>
        <w:t>č</w:t>
      </w:r>
      <w:r>
        <w:rPr>
          <w:lang w:val="sq-AL"/>
        </w:rPr>
        <w:t xml:space="preserve">e Univerzalnih Usluga su u proseku 5,6 miliona </w:t>
      </w:r>
      <w:r w:rsidRPr="00450894">
        <w:rPr>
          <w:lang w:val="sq-AL"/>
        </w:rPr>
        <w:t>€</w:t>
      </w:r>
      <w:r w:rsidRPr="008E59DF">
        <w:rPr>
          <w:lang w:val="sq-AL"/>
        </w:rPr>
        <w:t>, što je u skladu sa trenutnim prosečnim troškovima koje</w:t>
      </w:r>
      <w:r>
        <w:rPr>
          <w:lang w:val="sq-AL"/>
        </w:rPr>
        <w:t xml:space="preserve"> ima snabdeva</w:t>
      </w:r>
      <w:r>
        <w:rPr>
          <w:rFonts w:cstheme="minorHAnsi"/>
          <w:lang w:val="sq-AL"/>
        </w:rPr>
        <w:t>č</w:t>
      </w:r>
      <w:r>
        <w:rPr>
          <w:lang w:val="sq-AL"/>
        </w:rPr>
        <w:t xml:space="preserve"> univerzalnih usluga</w:t>
      </w:r>
      <w:r w:rsidRPr="008E59DF">
        <w:rPr>
          <w:lang w:val="sq-AL"/>
        </w:rPr>
        <w:t>, kao š</w:t>
      </w:r>
      <w:r>
        <w:rPr>
          <w:lang w:val="sq-AL"/>
        </w:rPr>
        <w:t>to je prikazano u donjoj tabeli</w:t>
      </w:r>
      <w:r w:rsidR="0075093C" w:rsidRPr="00450894">
        <w:rPr>
          <w:lang w:val="sq-AL"/>
        </w:rPr>
        <w:t>:</w:t>
      </w:r>
    </w:p>
    <w:p w:rsidR="0075093C" w:rsidRPr="00450894" w:rsidRDefault="0075093C" w:rsidP="0075093C">
      <w:pPr>
        <w:pStyle w:val="Caption"/>
        <w:rPr>
          <w:lang w:val="sq-AL"/>
        </w:rPr>
      </w:pPr>
      <w:r>
        <w:lastRenderedPageBreak/>
        <w:t xml:space="preserve">Tabela  </w:t>
      </w:r>
      <w:r>
        <w:fldChar w:fldCharType="begin"/>
      </w:r>
      <w:r>
        <w:instrText xml:space="preserve"> SEQ Tabela_ \* ARABIC </w:instrText>
      </w:r>
      <w:r>
        <w:fldChar w:fldCharType="separate"/>
      </w:r>
      <w:r w:rsidR="00AC532D">
        <w:rPr>
          <w:noProof/>
        </w:rPr>
        <w:t>7</w:t>
      </w:r>
      <w:r>
        <w:fldChar w:fldCharType="end"/>
      </w:r>
      <w:r>
        <w:t xml:space="preserve"> </w:t>
      </w:r>
      <w:r w:rsidR="00EB177D">
        <w:t>A</w:t>
      </w:r>
      <w:r w:rsidR="00E575F0">
        <w:t>ktue</w:t>
      </w:r>
      <w:r w:rsidR="003359DD">
        <w:t>lni</w:t>
      </w:r>
      <w:r w:rsidR="00EB177D">
        <w:t xml:space="preserve"> operativni</w:t>
      </w:r>
      <w:r w:rsidR="00EB177D" w:rsidRPr="00EB177D">
        <w:t xml:space="preserve"> troškovi i </w:t>
      </w:r>
      <w:r w:rsidR="00EB177D">
        <w:t>tro</w:t>
      </w:r>
      <w:r w:rsidR="00EB177D">
        <w:rPr>
          <w:rFonts w:cs="Calibri"/>
        </w:rPr>
        <w:t>š</w:t>
      </w:r>
      <w:r w:rsidR="00EB177D">
        <w:t xml:space="preserve">kovi </w:t>
      </w:r>
      <w:r w:rsidR="00EB177D" w:rsidRPr="00EB177D">
        <w:t xml:space="preserve">održavanja </w:t>
      </w:r>
      <w:r w:rsidRPr="00450894">
        <w:rPr>
          <w:lang w:val="sq-AL"/>
        </w:rPr>
        <w:t>(2016-2019)</w:t>
      </w:r>
    </w:p>
    <w:tbl>
      <w:tblPr>
        <w:tblW w:w="8788" w:type="dxa"/>
        <w:jc w:val="center"/>
        <w:tblLook w:val="04A0" w:firstRow="1" w:lastRow="0" w:firstColumn="1" w:lastColumn="0" w:noHBand="0" w:noVBand="1"/>
      </w:tblPr>
      <w:tblGrid>
        <w:gridCol w:w="3471"/>
        <w:gridCol w:w="829"/>
        <w:gridCol w:w="829"/>
        <w:gridCol w:w="829"/>
        <w:gridCol w:w="829"/>
        <w:gridCol w:w="772"/>
        <w:gridCol w:w="1229"/>
      </w:tblGrid>
      <w:tr w:rsidR="0075093C" w:rsidRPr="00450894" w:rsidTr="0075093C">
        <w:trPr>
          <w:trHeight w:val="495"/>
          <w:jc w:val="center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lang w:val="sq-A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lang w:val="sq-AL"/>
              </w:rPr>
              <w:t>2017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lang w:val="sq-AL"/>
              </w:rPr>
              <w:t>2018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lang w:val="sq-AL"/>
              </w:rPr>
              <w:t>2019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lang w:val="sq-AL"/>
              </w:rPr>
              <w:t>2020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lang w:val="sq-AL"/>
              </w:rPr>
              <w:t>2021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lang w:val="sq-AL"/>
              </w:rPr>
              <w:t>Mesatarja</w:t>
            </w:r>
          </w:p>
        </w:tc>
      </w:tr>
      <w:tr w:rsidR="0075093C" w:rsidRPr="00450894" w:rsidTr="0075093C">
        <w:trPr>
          <w:trHeight w:val="360"/>
          <w:jc w:val="center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0D6682" w:rsidRDefault="00F57337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F57337">
              <w:rPr>
                <w:rFonts w:ascii="Calibri" w:eastAsia="Times New Roman" w:hAnsi="Calibri" w:cs="Times New Roman"/>
                <w:color w:val="000000"/>
                <w:lang w:val="sq-AL"/>
              </w:rPr>
              <w:t>Odobreni</w:t>
            </w:r>
            <w:r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 tro</w:t>
            </w:r>
            <w:r>
              <w:rPr>
                <w:rFonts w:ascii="Calibri" w:eastAsia="Times New Roman" w:hAnsi="Calibri" w:cs="Calibri"/>
                <w:color w:val="000000"/>
                <w:lang w:val="sq-AL"/>
              </w:rPr>
              <w:t>š</w:t>
            </w:r>
            <w:r>
              <w:rPr>
                <w:rFonts w:ascii="Calibri" w:eastAsia="Times New Roman" w:hAnsi="Calibri" w:cs="Times New Roman"/>
                <w:color w:val="000000"/>
                <w:lang w:val="sq-AL"/>
              </w:rPr>
              <w:t>kovi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093C" w:rsidRPr="000D6682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0D6682">
              <w:rPr>
                <w:rFonts w:ascii="Calibri" w:eastAsia="Times New Roman" w:hAnsi="Calibri" w:cs="Times New Roman"/>
                <w:color w:val="000000"/>
                <w:lang w:val="sq-AL"/>
              </w:rPr>
              <w:t>5.79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093C" w:rsidRPr="000D6682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0D6682">
              <w:rPr>
                <w:rFonts w:ascii="Calibri" w:eastAsia="Times New Roman" w:hAnsi="Calibri" w:cs="Times New Roman"/>
                <w:color w:val="000000"/>
                <w:lang w:val="sq-AL"/>
              </w:rPr>
              <w:t>5.96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093C" w:rsidRPr="000D6682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0D6682">
              <w:rPr>
                <w:rFonts w:ascii="Calibri" w:eastAsia="Times New Roman" w:hAnsi="Calibri" w:cs="Times New Roman"/>
                <w:color w:val="000000"/>
                <w:lang w:val="sq-AL"/>
              </w:rPr>
              <w:t>6.06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093C" w:rsidRPr="000D6682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0D6682">
              <w:rPr>
                <w:rFonts w:ascii="Calibri" w:eastAsia="Times New Roman" w:hAnsi="Calibri" w:cs="Times New Roman"/>
                <w:color w:val="000000"/>
                <w:lang w:val="sq-AL"/>
              </w:rPr>
              <w:t>4.59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093C" w:rsidRPr="000D6682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0D6682">
              <w:rPr>
                <w:rFonts w:ascii="Calibri" w:eastAsia="Times New Roman" w:hAnsi="Calibri" w:cs="Times New Roman"/>
                <w:color w:val="000000"/>
                <w:lang w:val="sq-AL"/>
              </w:rPr>
              <w:t>4.61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0D6682">
              <w:rPr>
                <w:rFonts w:ascii="Calibri" w:eastAsia="Times New Roman" w:hAnsi="Calibri" w:cs="Times New Roman"/>
                <w:color w:val="000000"/>
                <w:lang w:val="sq-AL"/>
              </w:rPr>
              <w:t>5.40</w:t>
            </w:r>
          </w:p>
        </w:tc>
      </w:tr>
      <w:tr w:rsidR="0075093C" w:rsidRPr="00450894" w:rsidTr="0075093C">
        <w:trPr>
          <w:trHeight w:val="360"/>
          <w:jc w:val="center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E575F0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>
              <w:rPr>
                <w:rFonts w:ascii="Calibri" w:eastAsia="Times New Roman" w:hAnsi="Calibri" w:cs="Times New Roman"/>
                <w:color w:val="000000"/>
                <w:lang w:val="sq-AL"/>
              </w:rPr>
              <w:t>Aktue</w:t>
            </w:r>
            <w:r w:rsidR="00F57337">
              <w:rPr>
                <w:rFonts w:ascii="Calibri" w:eastAsia="Times New Roman" w:hAnsi="Calibri" w:cs="Times New Roman"/>
                <w:color w:val="000000"/>
                <w:lang w:val="sq-AL"/>
              </w:rPr>
              <w:t>lni tro</w:t>
            </w:r>
            <w:r w:rsidR="00F57337">
              <w:rPr>
                <w:rFonts w:ascii="Calibri" w:eastAsia="Times New Roman" w:hAnsi="Calibri" w:cs="Calibri"/>
                <w:color w:val="000000"/>
                <w:lang w:val="sq-AL"/>
              </w:rPr>
              <w:t>š</w:t>
            </w:r>
            <w:r w:rsidR="00F57337">
              <w:rPr>
                <w:rFonts w:ascii="Calibri" w:eastAsia="Times New Roman" w:hAnsi="Calibri" w:cs="Times New Roman"/>
                <w:color w:val="000000"/>
                <w:lang w:val="sq-AL"/>
              </w:rPr>
              <w:t>kovi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lang w:val="sq-AL"/>
              </w:rPr>
              <w:t>5.60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lang w:val="sq-AL"/>
              </w:rPr>
              <w:t>6.14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/>
              </w:rPr>
              <w:t>5.56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/>
              </w:rPr>
              <w:t>5.37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/>
              </w:rPr>
              <w:t>5.33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/>
              </w:rPr>
              <w:t>5.60</w:t>
            </w:r>
          </w:p>
        </w:tc>
      </w:tr>
      <w:tr w:rsidR="0075093C" w:rsidRPr="00450894" w:rsidTr="0075093C">
        <w:trPr>
          <w:trHeight w:val="360"/>
          <w:jc w:val="center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noWrap/>
            <w:vAlign w:val="center"/>
            <w:hideMark/>
          </w:tcPr>
          <w:p w:rsidR="0075093C" w:rsidRPr="00CC5249" w:rsidRDefault="00F57337" w:rsidP="00750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  <w:t> Razlika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noWrap/>
            <w:vAlign w:val="center"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</w:pPr>
            <w:r w:rsidRPr="00B26335"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  <w:t>0.18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noWrap/>
            <w:vAlign w:val="center"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</w:pPr>
            <w:r w:rsidRPr="00B1408C"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  <w:t>(0.19)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  <w:t>0.50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  <w:t>(0.77)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  <w:t>(0.73)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lang w:val="sq-AL"/>
              </w:rPr>
              <w:t>(0.20)</w:t>
            </w:r>
          </w:p>
        </w:tc>
      </w:tr>
    </w:tbl>
    <w:p w:rsidR="0075093C" w:rsidRPr="00CC5249" w:rsidRDefault="0075093C" w:rsidP="0075093C">
      <w:pPr>
        <w:rPr>
          <w:lang w:val="sq-AL"/>
        </w:rPr>
      </w:pPr>
    </w:p>
    <w:p w:rsidR="00820A8B" w:rsidRPr="00450894" w:rsidRDefault="007A25AB" w:rsidP="006C04F5">
      <w:pPr>
        <w:jc w:val="both"/>
        <w:rPr>
          <w:lang w:val="sq-AL"/>
        </w:rPr>
      </w:pPr>
      <w:r w:rsidRPr="007A25AB">
        <w:rPr>
          <w:lang w:val="sq-AL"/>
        </w:rPr>
        <w:t>KESCO tvrdi da ih je smanjenje naknada za operativne troškove za 25% dovelo u nepov</w:t>
      </w:r>
      <w:r w:rsidR="009B44AC">
        <w:rPr>
          <w:lang w:val="sq-AL"/>
        </w:rPr>
        <w:t>oljan finansijski položaj i SUU</w:t>
      </w:r>
      <w:r w:rsidRPr="007A25AB">
        <w:rPr>
          <w:lang w:val="sq-AL"/>
        </w:rPr>
        <w:t xml:space="preserve"> je finansijsku godinu 2019. zaključio sa gubitkom, pored izazova koje predstavlja širenje pandemije COVID-19, što je uticalo na plaćanja i obaveze.</w:t>
      </w:r>
      <w:r w:rsidR="00746EF3">
        <w:rPr>
          <w:lang w:val="sq-AL"/>
        </w:rPr>
        <w:t xml:space="preserve"> </w:t>
      </w:r>
      <w:r w:rsidRPr="007A25AB">
        <w:rPr>
          <w:lang w:val="sq-AL"/>
        </w:rPr>
        <w:t>KESCO prema drugim operaterima. KES</w:t>
      </w:r>
      <w:r w:rsidR="00740DC3">
        <w:rPr>
          <w:lang w:val="sq-AL"/>
        </w:rPr>
        <w:t>CO dalje tvrdi da se broj potro</w:t>
      </w:r>
      <w:r w:rsidR="00740DC3">
        <w:rPr>
          <w:rFonts w:cstheme="minorHAnsi"/>
          <w:lang w:val="sq-AL"/>
        </w:rPr>
        <w:t>š</w:t>
      </w:r>
      <w:r w:rsidR="00740DC3">
        <w:rPr>
          <w:lang w:val="sq-AL"/>
        </w:rPr>
        <w:t>a</w:t>
      </w:r>
      <w:r w:rsidR="00740DC3">
        <w:rPr>
          <w:rFonts w:cstheme="minorHAnsi"/>
          <w:lang w:val="sq-AL"/>
        </w:rPr>
        <w:t>ć</w:t>
      </w:r>
      <w:r w:rsidR="00740DC3">
        <w:rPr>
          <w:lang w:val="sq-AL"/>
        </w:rPr>
        <w:t>a</w:t>
      </w:r>
      <w:r w:rsidRPr="007A25AB">
        <w:rPr>
          <w:lang w:val="sq-AL"/>
        </w:rPr>
        <w:t xml:space="preserve"> stalno povećava, što povećava cenu usluge.</w:t>
      </w:r>
    </w:p>
    <w:p w:rsidR="0075093C" w:rsidRPr="00450894" w:rsidRDefault="0075093C" w:rsidP="0075093C">
      <w:pPr>
        <w:pStyle w:val="Caption"/>
        <w:rPr>
          <w:lang w:val="sq-AL"/>
        </w:rPr>
      </w:pPr>
      <w:r>
        <w:t xml:space="preserve">Tabela  </w:t>
      </w:r>
      <w:r>
        <w:fldChar w:fldCharType="begin"/>
      </w:r>
      <w:r>
        <w:instrText xml:space="preserve"> SEQ Tabela_ \* ARABIC </w:instrText>
      </w:r>
      <w:r>
        <w:fldChar w:fldCharType="separate"/>
      </w:r>
      <w:r w:rsidR="00AC532D">
        <w:rPr>
          <w:noProof/>
        </w:rPr>
        <w:t>8</w:t>
      </w:r>
      <w:r>
        <w:fldChar w:fldCharType="end"/>
      </w:r>
      <w:r w:rsidRPr="00450894">
        <w:rPr>
          <w:lang w:val="sq-AL"/>
        </w:rPr>
        <w:t xml:space="preserve"> </w:t>
      </w:r>
      <w:r w:rsidR="00740DC3">
        <w:rPr>
          <w:lang w:val="sq-AL"/>
        </w:rPr>
        <w:t xml:space="preserve">Prosečni OPEX </w:t>
      </w:r>
      <w:r w:rsidR="004D67CE">
        <w:rPr>
          <w:lang w:val="sq-AL"/>
        </w:rPr>
        <w:t>troškovi po potro</w:t>
      </w:r>
      <w:r w:rsidR="004D67CE">
        <w:rPr>
          <w:rFonts w:cs="Calibri"/>
          <w:lang w:val="sq-AL"/>
        </w:rPr>
        <w:t>š</w:t>
      </w:r>
      <w:r w:rsidR="004D67CE">
        <w:rPr>
          <w:lang w:val="sq-AL"/>
        </w:rPr>
        <w:t>a</w:t>
      </w:r>
      <w:r w:rsidR="004D67CE">
        <w:rPr>
          <w:rFonts w:cs="Calibri"/>
          <w:lang w:val="sq-AL"/>
        </w:rPr>
        <w:t>ć</w:t>
      </w:r>
      <w:r w:rsidR="00746EF3">
        <w:rPr>
          <w:lang w:val="sq-AL"/>
        </w:rPr>
        <w:t>u</w:t>
      </w:r>
      <w:r w:rsidR="004D67CE">
        <w:rPr>
          <w:lang w:val="sq-AL"/>
        </w:rPr>
        <w:t xml:space="preserve"> </w:t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3926"/>
        <w:gridCol w:w="974"/>
        <w:gridCol w:w="974"/>
        <w:gridCol w:w="974"/>
        <w:gridCol w:w="974"/>
        <w:gridCol w:w="1074"/>
      </w:tblGrid>
      <w:tr w:rsidR="0075093C" w:rsidRPr="00450894" w:rsidTr="0075093C">
        <w:trPr>
          <w:trHeight w:val="449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EF1AE4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</w:pPr>
            <w:r w:rsidRPr="00EF1AE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  <w:t xml:space="preserve">Analizirana komponenta po jedinici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  <w:t>2017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  <w:t>2018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  <w:t>2019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  <w:t>2020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  <w:t>2021</w:t>
            </w:r>
          </w:p>
        </w:tc>
      </w:tr>
      <w:tr w:rsidR="0075093C" w:rsidRPr="00450894" w:rsidTr="0075093C">
        <w:trPr>
          <w:trHeight w:val="326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75093C" w:rsidRPr="00CC5249" w:rsidRDefault="00EF1AE4" w:rsidP="00EF1A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  <w:t>D</w:t>
            </w:r>
            <w:r w:rsidRPr="00EF1A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ozvoljeni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  <w:t>Opex</w:t>
            </w:r>
            <w:r w:rsidR="0075093C"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 (000s)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B26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  <w:t>5,787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B14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  <w:t>5,957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  <w:t>6,060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  <w:t>4,594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  <w:t>4,606</w:t>
            </w:r>
          </w:p>
        </w:tc>
      </w:tr>
      <w:tr w:rsidR="0075093C" w:rsidRPr="00450894" w:rsidTr="0075093C">
        <w:trPr>
          <w:trHeight w:val="326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EE59E5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Broj aktivnih potro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/>
              </w:rPr>
              <w:t>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/>
              </w:rPr>
              <w:t>ć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561,827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579,963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605,694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621,516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646,385*</w:t>
            </w:r>
          </w:p>
        </w:tc>
      </w:tr>
      <w:tr w:rsidR="0075093C" w:rsidRPr="00450894" w:rsidTr="0075093C">
        <w:trPr>
          <w:trHeight w:val="326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C91A26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C91A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sq-AL"/>
              </w:rPr>
              <w:t>Dozvoljeni Opex</w:t>
            </w: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za potro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/>
              </w:rPr>
              <w:t>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/>
              </w:rPr>
              <w:t>ć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10.3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10.27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10.01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7.39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7.13</w:t>
            </w:r>
          </w:p>
        </w:tc>
      </w:tr>
      <w:tr w:rsidR="0075093C" w:rsidRPr="00450894" w:rsidTr="0075093C">
        <w:trPr>
          <w:trHeight w:val="326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C91A26" w:rsidP="00C91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C91A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 xml:space="preserve">Promena prosečnih operativnih troškova po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potro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/>
              </w:rPr>
              <w:t>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/>
              </w:rPr>
              <w:t>ć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u</w:t>
            </w:r>
            <w:r w:rsidRPr="00B26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r w:rsidR="0075093C" w:rsidRPr="00B26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(%)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-0.3%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-2.6%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-26.1%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2.2%</w:t>
            </w:r>
          </w:p>
        </w:tc>
      </w:tr>
      <w:tr w:rsidR="0075093C" w:rsidRPr="00450894" w:rsidTr="0075093C">
        <w:trPr>
          <w:trHeight w:val="326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75093C" w:rsidRPr="00CC5249" w:rsidRDefault="00746EF3" w:rsidP="00746E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  <w:t xml:space="preserve">Aktuleni </w:t>
            </w:r>
            <w:r w:rsidR="00467AF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  <w:t xml:space="preserve">OPEX </w:t>
            </w:r>
            <w:r w:rsidR="0075093C" w:rsidRPr="00CC52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  <w:t xml:space="preserve"> </w:t>
            </w:r>
            <w:r w:rsidR="0075093C"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/>
              </w:rPr>
              <w:t>(000s)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</w:pPr>
            <w:r w:rsidRPr="00B263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  <w:t>5,603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</w:pPr>
            <w:r w:rsidRPr="00B1408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  <w:t>6,143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  <w:t>5,556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  <w:t>5,368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q-AL"/>
              </w:rPr>
              <w:t>5,333</w:t>
            </w:r>
          </w:p>
        </w:tc>
      </w:tr>
      <w:tr w:rsidR="0075093C" w:rsidRPr="00450894" w:rsidTr="0075093C">
        <w:trPr>
          <w:trHeight w:val="326"/>
        </w:trPr>
        <w:tc>
          <w:tcPr>
            <w:tcW w:w="392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5093C" w:rsidRPr="00CC5249" w:rsidRDefault="00746EF3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 xml:space="preserve">Aktuelni </w:t>
            </w:r>
            <w:r w:rsidR="00467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r w:rsidR="0075093C" w:rsidRPr="00CC52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Op</w:t>
            </w:r>
            <w:r w:rsidR="00467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ex za potro</w:t>
            </w:r>
            <w:r w:rsidR="00467A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/>
              </w:rPr>
              <w:t>š</w:t>
            </w:r>
            <w:r w:rsidR="00467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a</w:t>
            </w:r>
            <w:r w:rsidR="00467A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/>
              </w:rPr>
              <w:t>ć</w:t>
            </w:r>
            <w:r w:rsidR="00467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e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9.97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10.59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9.17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8.53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8.25</w:t>
            </w:r>
          </w:p>
        </w:tc>
      </w:tr>
      <w:tr w:rsidR="0075093C" w:rsidRPr="00450894" w:rsidTr="0075093C">
        <w:trPr>
          <w:trHeight w:val="326"/>
        </w:trPr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093C" w:rsidRPr="00CC5249" w:rsidRDefault="00467AF7" w:rsidP="00467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67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Promena prosečnih operativnih troškova za tekuću 2018-2021. po potrošaču</w:t>
            </w:r>
            <w:r w:rsidR="0075093C" w:rsidRPr="00CC52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 xml:space="preserve"> (%)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22%</w:t>
            </w:r>
          </w:p>
        </w:tc>
      </w:tr>
    </w:tbl>
    <w:p w:rsidR="0075093C" w:rsidRPr="00B26335" w:rsidRDefault="00467AF7" w:rsidP="0075093C">
      <w:pPr>
        <w:rPr>
          <w:color w:val="A5A5A5" w:themeColor="accent3"/>
          <w:sz w:val="18"/>
          <w:szCs w:val="18"/>
          <w:lang w:val="sq-AL"/>
        </w:rPr>
      </w:pPr>
      <w:r>
        <w:rPr>
          <w:color w:val="A5A5A5" w:themeColor="accent3"/>
          <w:sz w:val="18"/>
          <w:szCs w:val="18"/>
          <w:lang w:val="sq-AL"/>
        </w:rPr>
        <w:t>Izvor</w:t>
      </w:r>
      <w:r w:rsidR="0075093C" w:rsidRPr="00B26335">
        <w:rPr>
          <w:color w:val="A5A5A5" w:themeColor="accent3"/>
          <w:sz w:val="18"/>
          <w:szCs w:val="18"/>
          <w:lang w:val="sq-AL"/>
        </w:rPr>
        <w:t>: KESCO</w:t>
      </w:r>
    </w:p>
    <w:p w:rsidR="0075093C" w:rsidRPr="00450894" w:rsidRDefault="00EA0544" w:rsidP="006C04F5">
      <w:pPr>
        <w:jc w:val="both"/>
        <w:rPr>
          <w:color w:val="A5A5A5" w:themeColor="accent3"/>
          <w:sz w:val="18"/>
          <w:szCs w:val="18"/>
          <w:lang w:val="sq-AL"/>
        </w:rPr>
      </w:pPr>
      <w:r>
        <w:rPr>
          <w:lang w:val="sq-AL"/>
        </w:rPr>
        <w:t>U svojoj apliaciji</w:t>
      </w:r>
      <w:r w:rsidR="00746EF3">
        <w:rPr>
          <w:lang w:val="sq-AL"/>
        </w:rPr>
        <w:t xml:space="preserve"> </w:t>
      </w:r>
      <w:r w:rsidRPr="00EA0544">
        <w:rPr>
          <w:lang w:val="sq-AL"/>
        </w:rPr>
        <w:t>KESCO navodi da ako uporedimo tekuće operativne troškove od 2018. do 2021. godine postoji razlika</w:t>
      </w:r>
      <w:r w:rsidR="00A5641D">
        <w:rPr>
          <w:lang w:val="sq-AL"/>
        </w:rPr>
        <w:t xml:space="preserve"> od 23%, što dokazuje da je SUU</w:t>
      </w:r>
      <w:r w:rsidRPr="00EA0544">
        <w:rPr>
          <w:lang w:val="sq-AL"/>
        </w:rPr>
        <w:t xml:space="preserve"> dostigao maksimalnu optimizaciju, za koje gubitke</w:t>
      </w:r>
      <w:r w:rsidR="00A5641D">
        <w:rPr>
          <w:lang w:val="sq-AL"/>
        </w:rPr>
        <w:t xml:space="preserve"> SUU-a ne nadoknađuje kroz date OPEX</w:t>
      </w:r>
      <w:r w:rsidRPr="00EA0544">
        <w:rPr>
          <w:lang w:val="sq-AL"/>
        </w:rPr>
        <w:t xml:space="preserve"> i koji će biti problematično postići u budućnosti ako </w:t>
      </w:r>
      <w:r w:rsidR="00A5641D">
        <w:rPr>
          <w:lang w:val="sq-AL"/>
        </w:rPr>
        <w:t>RUE ne uzme u obzir zahteve SUU-a</w:t>
      </w:r>
      <w:r w:rsidRPr="00EA0544">
        <w:rPr>
          <w:lang w:val="sq-AL"/>
        </w:rPr>
        <w:t>.</w:t>
      </w:r>
    </w:p>
    <w:p w:rsidR="006C04F5" w:rsidRDefault="00DA3080" w:rsidP="00820A8B">
      <w:pPr>
        <w:jc w:val="both"/>
        <w:rPr>
          <w:lang w:val="sq-AL"/>
        </w:rPr>
      </w:pPr>
      <w:r w:rsidRPr="00DA3080">
        <w:rPr>
          <w:lang w:val="sq-AL"/>
        </w:rPr>
        <w:t xml:space="preserve">KESCO tvrdi da je potrebno povećati </w:t>
      </w:r>
      <w:r w:rsidR="00875C46">
        <w:rPr>
          <w:lang w:val="sq-AL"/>
        </w:rPr>
        <w:t>Operativne troškove i O</w:t>
      </w:r>
      <w:r w:rsidRPr="00DA3080">
        <w:rPr>
          <w:lang w:val="sq-AL"/>
        </w:rPr>
        <w:t>državanja kako bi se (i) obezbedila dod</w:t>
      </w:r>
      <w:r w:rsidR="00875C46">
        <w:rPr>
          <w:lang w:val="sq-AL"/>
        </w:rPr>
        <w:t>atna obuka za zaposlene snabdevače</w:t>
      </w:r>
      <w:r w:rsidRPr="00DA3080">
        <w:rPr>
          <w:lang w:val="sq-AL"/>
        </w:rPr>
        <w:t xml:space="preserve"> u novom sistemu naplate; (ii) bezbednost, održavanje i dopuna goriva za kupovinu dodatnih vozila</w:t>
      </w:r>
      <w:r w:rsidR="00875C46">
        <w:rPr>
          <w:lang w:val="sq-AL"/>
        </w:rPr>
        <w:t xml:space="preserve">; (iii) </w:t>
      </w:r>
      <w:r w:rsidR="00875C46" w:rsidRPr="00875C46">
        <w:rPr>
          <w:lang w:val="sq-AL"/>
        </w:rPr>
        <w:t xml:space="preserve">dodatni troškovi osiguranja koji su povećani zbog pandemije </w:t>
      </w:r>
      <w:r w:rsidRPr="00DA3080">
        <w:rPr>
          <w:lang w:val="sq-AL"/>
        </w:rPr>
        <w:t>COVID-19; (iv) bankarske garancije i troškovi finansiranja; i (v) promenljivo okruženje na tržištu električne energ</w:t>
      </w:r>
      <w:r w:rsidR="00875C46">
        <w:rPr>
          <w:lang w:val="sq-AL"/>
        </w:rPr>
        <w:t>ije koje zahteva dodatne unutra</w:t>
      </w:r>
      <w:r w:rsidR="00875C46">
        <w:rPr>
          <w:rFonts w:cstheme="minorHAnsi"/>
          <w:lang w:val="sq-AL"/>
        </w:rPr>
        <w:t>š</w:t>
      </w:r>
      <w:r w:rsidR="00875C46">
        <w:rPr>
          <w:lang w:val="sq-AL"/>
        </w:rPr>
        <w:t>nje</w:t>
      </w:r>
      <w:r w:rsidRPr="00DA3080">
        <w:rPr>
          <w:lang w:val="sq-AL"/>
        </w:rPr>
        <w:t xml:space="preserve"> savete i bolje informacije o promenama u pruženim uslugama. KESCO je stoga zahtevao da RUE dozvol</w:t>
      </w:r>
      <w:r w:rsidR="00875C46">
        <w:rPr>
          <w:lang w:val="sq-AL"/>
        </w:rPr>
        <w:t>i predložen Opex u T</w:t>
      </w:r>
      <w:r w:rsidRPr="00DA3080">
        <w:rPr>
          <w:lang w:val="sq-AL"/>
        </w:rPr>
        <w:t>abeli 8</w:t>
      </w:r>
      <w:r w:rsidR="00875C46">
        <w:rPr>
          <w:lang w:val="sq-AL"/>
        </w:rPr>
        <w:t>,</w:t>
      </w:r>
      <w:r w:rsidRPr="00DA3080">
        <w:rPr>
          <w:lang w:val="sq-AL"/>
        </w:rPr>
        <w:t xml:space="preserve"> u nastavku.</w:t>
      </w:r>
    </w:p>
    <w:p w:rsidR="0075093C" w:rsidRPr="00450894" w:rsidRDefault="0075093C" w:rsidP="006C04F5">
      <w:pPr>
        <w:jc w:val="both"/>
        <w:rPr>
          <w:lang w:val="sq-AL"/>
        </w:rPr>
      </w:pPr>
    </w:p>
    <w:p w:rsidR="0075093C" w:rsidRPr="00450894" w:rsidRDefault="0075093C" w:rsidP="0075093C">
      <w:pPr>
        <w:pStyle w:val="Caption"/>
        <w:rPr>
          <w:lang w:val="sq-AL"/>
        </w:rPr>
      </w:pPr>
      <w:bookmarkStart w:id="10" w:name="_Hlk55849470"/>
      <w:r>
        <w:lastRenderedPageBreak/>
        <w:t xml:space="preserve">Tabela  </w:t>
      </w:r>
      <w:r>
        <w:fldChar w:fldCharType="begin"/>
      </w:r>
      <w:r>
        <w:instrText xml:space="preserve"> SEQ Tabela_ \* ARABIC </w:instrText>
      </w:r>
      <w:r>
        <w:fldChar w:fldCharType="separate"/>
      </w:r>
      <w:r w:rsidR="00AC532D">
        <w:rPr>
          <w:noProof/>
        </w:rPr>
        <w:t>9</w:t>
      </w:r>
      <w:r>
        <w:fldChar w:fldCharType="end"/>
      </w:r>
      <w:r>
        <w:rPr>
          <w:lang w:val="sq-AL"/>
        </w:rPr>
        <w:t xml:space="preserve"> </w:t>
      </w:r>
      <w:r w:rsidR="005E193C">
        <w:rPr>
          <w:lang w:val="sq-AL"/>
        </w:rPr>
        <w:t xml:space="preserve">Opex  </w:t>
      </w:r>
      <w:r w:rsidR="00AC6400">
        <w:rPr>
          <w:lang w:val="sq-AL"/>
        </w:rPr>
        <w:t xml:space="preserve">zahtevan </w:t>
      </w:r>
      <w:r w:rsidR="005E193C">
        <w:rPr>
          <w:lang w:val="sq-AL"/>
        </w:rPr>
        <w:t xml:space="preserve">od strane </w:t>
      </w:r>
      <w:r w:rsidRPr="00450894">
        <w:rPr>
          <w:lang w:val="sq-AL"/>
        </w:rPr>
        <w:t>KESCO (2022-2024)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8"/>
        <w:gridCol w:w="1608"/>
        <w:gridCol w:w="1608"/>
        <w:gridCol w:w="1606"/>
      </w:tblGrid>
      <w:tr w:rsidR="0075093C" w:rsidRPr="00450894" w:rsidTr="0075093C">
        <w:trPr>
          <w:trHeight w:val="49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5E19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  <w:t> </w:t>
            </w:r>
            <w:r w:rsidR="005E193C" w:rsidRPr="005E193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  <w:t>Regulatorni period</w:t>
            </w:r>
            <w:r w:rsidRPr="004508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  <w:t>2022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  <w:t>2023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/>
              </w:rPr>
              <w:t>2024</w:t>
            </w:r>
          </w:p>
        </w:tc>
      </w:tr>
      <w:tr w:rsidR="0075093C" w:rsidRPr="00450894" w:rsidTr="0075093C">
        <w:trPr>
          <w:trHeight w:val="36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75093C" w:rsidRPr="00CC5249" w:rsidRDefault="005E193C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lang w:val="sq-AL"/>
              </w:rPr>
              <w:t>Z</w:t>
            </w:r>
            <w:r w:rsidR="00AC6400">
              <w:rPr>
                <w:lang w:val="sq-AL"/>
              </w:rPr>
              <w:t xml:space="preserve">ahtev </w:t>
            </w:r>
            <w:r>
              <w:rPr>
                <w:lang w:val="sq-AL"/>
              </w:rPr>
              <w:t>za</w:t>
            </w:r>
            <w:r w:rsidR="0075093C" w:rsidRPr="00CC5249">
              <w:rPr>
                <w:lang w:val="sq-AL"/>
              </w:rPr>
              <w:t xml:space="preserve"> OPEX (€’000)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6,807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6,867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  <w:t>6,889</w:t>
            </w:r>
          </w:p>
        </w:tc>
      </w:tr>
    </w:tbl>
    <w:bookmarkEnd w:id="10"/>
    <w:p w:rsidR="0075093C" w:rsidRPr="00EF4D5D" w:rsidRDefault="005E193C" w:rsidP="0075093C">
      <w:pPr>
        <w:rPr>
          <w:color w:val="A5A5A5" w:themeColor="accent3"/>
          <w:sz w:val="18"/>
          <w:szCs w:val="18"/>
          <w:lang w:val="sq-AL"/>
        </w:rPr>
      </w:pPr>
      <w:r>
        <w:rPr>
          <w:color w:val="A5A5A5" w:themeColor="accent3"/>
          <w:sz w:val="18"/>
          <w:szCs w:val="18"/>
          <w:lang w:val="sq-AL"/>
        </w:rPr>
        <w:t>Izvor: Aplikacija KESCO-a</w:t>
      </w:r>
    </w:p>
    <w:p w:rsidR="0075093C" w:rsidRPr="00AC02E5" w:rsidRDefault="00D07285" w:rsidP="00D07285">
      <w:pPr>
        <w:pStyle w:val="Heading2"/>
      </w:pPr>
      <w:bookmarkStart w:id="11" w:name="_Toc88226460"/>
      <w:r w:rsidRPr="00D07285">
        <w:rPr>
          <w:lang w:val="sq-AL"/>
        </w:rPr>
        <w:t xml:space="preserve">Razmatranje aplikacije i predloga RUE za Operativne Troškove </w:t>
      </w:r>
      <w:bookmarkEnd w:id="11"/>
    </w:p>
    <w:p w:rsidR="0075093C" w:rsidRPr="00450894" w:rsidRDefault="00D07285" w:rsidP="006C04F5">
      <w:pPr>
        <w:jc w:val="both"/>
        <w:rPr>
          <w:lang w:val="sq-AL"/>
        </w:rPr>
      </w:pPr>
      <w:r w:rsidRPr="00D07285">
        <w:rPr>
          <w:lang w:val="sq-AL"/>
        </w:rPr>
        <w:t>Dozvo</w:t>
      </w:r>
      <w:r>
        <w:rPr>
          <w:lang w:val="sq-AL"/>
        </w:rPr>
        <w:t>ljeni maloprodajni troškovi SUU-a</w:t>
      </w:r>
      <w:r w:rsidRPr="00D07285">
        <w:rPr>
          <w:lang w:val="sq-AL"/>
        </w:rPr>
        <w:t xml:space="preserve"> uključuju naknade za operativne troškove i troškove održavanja, korporativne troškove i druge troško</w:t>
      </w:r>
      <w:r>
        <w:rPr>
          <w:lang w:val="sq-AL"/>
        </w:rPr>
        <w:t>ve van kontrole licenciranih</w:t>
      </w:r>
      <w:r w:rsidRPr="00D07285">
        <w:rPr>
          <w:lang w:val="sq-AL"/>
        </w:rPr>
        <w:t>.</w:t>
      </w:r>
      <w:r w:rsidR="0075093C" w:rsidRPr="00450894">
        <w:rPr>
          <w:lang w:val="sq-AL"/>
        </w:rPr>
        <w:t xml:space="preserve"> </w:t>
      </w:r>
    </w:p>
    <w:p w:rsidR="0075093C" w:rsidRPr="00450894" w:rsidRDefault="00D07285" w:rsidP="006C04F5">
      <w:pPr>
        <w:jc w:val="both"/>
        <w:rPr>
          <w:lang w:val="sq-AL"/>
        </w:rPr>
      </w:pPr>
      <w:r>
        <w:rPr>
          <w:lang w:val="sq-AL"/>
        </w:rPr>
        <w:t>Aplikacija KESCO-a</w:t>
      </w:r>
      <w:r w:rsidRPr="00D07285">
        <w:rPr>
          <w:lang w:val="sq-AL"/>
        </w:rPr>
        <w:t xml:space="preserve"> o dozvoljenim maloprodajnim troškovima uglavnom je fokusirana na dozvoljene operativne troškove i troškove održavanja jer oni čine većinu dozvoljenih maloprodajnih troškova.</w:t>
      </w:r>
    </w:p>
    <w:p w:rsidR="0075093C" w:rsidRPr="00450894" w:rsidRDefault="001E7888" w:rsidP="006C04F5">
      <w:pPr>
        <w:jc w:val="both"/>
        <w:rPr>
          <w:lang w:val="sq-AL"/>
        </w:rPr>
      </w:pPr>
      <w:r w:rsidRPr="001E7888">
        <w:rPr>
          <w:lang w:val="sq-AL"/>
        </w:rPr>
        <w:t>RUE na</w:t>
      </w:r>
      <w:r>
        <w:rPr>
          <w:lang w:val="sq-AL"/>
        </w:rPr>
        <w:t>vodi da ranije nije podelio Opex</w:t>
      </w:r>
      <w:r w:rsidRPr="001E7888">
        <w:rPr>
          <w:lang w:val="sq-AL"/>
        </w:rPr>
        <w:t xml:space="preserve"> u različite k</w:t>
      </w:r>
      <w:r>
        <w:rPr>
          <w:lang w:val="sq-AL"/>
        </w:rPr>
        <w:t>ategorije kako bi omogućio SUU-u</w:t>
      </w:r>
      <w:r w:rsidRPr="001E7888">
        <w:rPr>
          <w:lang w:val="sq-AL"/>
        </w:rPr>
        <w:t xml:space="preserve"> fleksibilnost u efikasnom upravljanju operativnim troškovima i troškovima održavanja. Međutim, u svrhu razjašnjenja stavova RUE o predlo</w:t>
      </w:r>
      <w:r w:rsidR="00682D40">
        <w:rPr>
          <w:lang w:val="sq-AL"/>
        </w:rPr>
        <w:t>ženim dozvolama za Opex</w:t>
      </w:r>
      <w:r w:rsidRPr="001E7888">
        <w:rPr>
          <w:lang w:val="sq-AL"/>
        </w:rPr>
        <w:t xml:space="preserve"> za period 2022-2024, važno je detaljnije razgovarati o ključnim komponentama operativnih troškova i troškova održavanja.</w:t>
      </w:r>
    </w:p>
    <w:p w:rsidR="0075093C" w:rsidRPr="00450894" w:rsidRDefault="00682D40" w:rsidP="006C04F5">
      <w:pPr>
        <w:jc w:val="both"/>
        <w:rPr>
          <w:lang w:val="sq-AL"/>
        </w:rPr>
      </w:pPr>
      <w:r w:rsidRPr="00682D40">
        <w:rPr>
          <w:lang w:val="sq-AL"/>
        </w:rPr>
        <w:t xml:space="preserve">Podaci koje je predstavio KESCO pokazuju značajnu nestabilnost između kategorija troškova i ukupnih troškova </w:t>
      </w:r>
      <w:r>
        <w:rPr>
          <w:lang w:val="sq-AL"/>
        </w:rPr>
        <w:t>nastalih za pružanje prilago</w:t>
      </w:r>
      <w:r>
        <w:rPr>
          <w:rFonts w:cstheme="minorHAnsi"/>
          <w:lang w:val="sq-AL"/>
        </w:rPr>
        <w:t>đ</w:t>
      </w:r>
      <w:r>
        <w:rPr>
          <w:lang w:val="sq-AL"/>
        </w:rPr>
        <w:t>enih</w:t>
      </w:r>
      <w:r w:rsidRPr="00682D40">
        <w:rPr>
          <w:lang w:val="sq-AL"/>
        </w:rPr>
        <w:t xml:space="preserve"> usluga</w:t>
      </w:r>
      <w:r w:rsidR="0075093C" w:rsidRPr="00450894">
        <w:rPr>
          <w:lang w:val="sq-AL"/>
        </w:rPr>
        <w:t>.</w:t>
      </w:r>
    </w:p>
    <w:p w:rsidR="0075093C" w:rsidRPr="00CC5249" w:rsidRDefault="00682D40" w:rsidP="0075093C">
      <w:pPr>
        <w:pStyle w:val="Caption"/>
        <w:jc w:val="left"/>
        <w:rPr>
          <w:lang w:val="sq-AL"/>
        </w:rPr>
      </w:pPr>
      <w:r>
        <w:rPr>
          <w:lang w:val="sq-AL"/>
        </w:rPr>
        <w:t>Slika</w:t>
      </w:r>
      <w:r w:rsidR="0075093C" w:rsidRPr="00450894">
        <w:rPr>
          <w:lang w:val="sq-AL"/>
        </w:rPr>
        <w:t xml:space="preserve"> </w:t>
      </w:r>
      <w:r w:rsidR="0075093C" w:rsidRPr="00CC5249">
        <w:rPr>
          <w:lang w:val="sq-AL"/>
        </w:rPr>
        <w:fldChar w:fldCharType="begin"/>
      </w:r>
      <w:r w:rsidR="0075093C" w:rsidRPr="00450894">
        <w:rPr>
          <w:lang w:val="sq-AL"/>
        </w:rPr>
        <w:instrText xml:space="preserve"> SEQ Figure \* ARABIC </w:instrText>
      </w:r>
      <w:r w:rsidR="0075093C" w:rsidRPr="00CC5249">
        <w:rPr>
          <w:lang w:val="sq-AL"/>
        </w:rPr>
        <w:fldChar w:fldCharType="separate"/>
      </w:r>
      <w:r w:rsidR="00AC532D">
        <w:rPr>
          <w:noProof/>
          <w:lang w:val="sq-AL"/>
        </w:rPr>
        <w:t>1</w:t>
      </w:r>
      <w:r w:rsidR="0075093C" w:rsidRPr="00CC5249">
        <w:rPr>
          <w:lang w:val="sq-AL"/>
        </w:rPr>
        <w:fldChar w:fldCharType="end"/>
      </w:r>
      <w:r w:rsidR="0075093C" w:rsidRPr="00CC5249">
        <w:rPr>
          <w:lang w:val="sq-AL"/>
        </w:rPr>
        <w:t xml:space="preserve"> </w:t>
      </w:r>
      <w:r w:rsidR="00D074D6">
        <w:rPr>
          <w:lang w:val="sq-AL"/>
        </w:rPr>
        <w:t>Aktuelni</w:t>
      </w:r>
      <w:r w:rsidRPr="00682D40">
        <w:rPr>
          <w:lang w:val="sq-AL"/>
        </w:rPr>
        <w:t xml:space="preserve"> </w:t>
      </w:r>
      <w:r>
        <w:rPr>
          <w:lang w:val="sq-AL"/>
        </w:rPr>
        <w:t xml:space="preserve">operativni </w:t>
      </w:r>
      <w:r w:rsidRPr="00682D40">
        <w:rPr>
          <w:lang w:val="sq-AL"/>
        </w:rPr>
        <w:t>troškovi i održavanja</w:t>
      </w:r>
      <w:r w:rsidR="0075093C" w:rsidRPr="00CC5249">
        <w:rPr>
          <w:lang w:val="sq-AL"/>
        </w:rPr>
        <w:t xml:space="preserve">  (2016-2020)</w:t>
      </w:r>
    </w:p>
    <w:p w:rsidR="0075093C" w:rsidRPr="00CC5249" w:rsidRDefault="0075093C" w:rsidP="0075093C">
      <w:pPr>
        <w:jc w:val="center"/>
        <w:rPr>
          <w:lang w:val="sq-AL"/>
        </w:rPr>
      </w:pPr>
      <w:r w:rsidRPr="00450894">
        <w:rPr>
          <w:lang w:val="sq-AL"/>
        </w:rPr>
        <w:t xml:space="preserve"> </w:t>
      </w:r>
      <w:r w:rsidRPr="00450894">
        <w:rPr>
          <w:noProof/>
        </w:rPr>
        <w:drawing>
          <wp:inline distT="0" distB="0" distL="0" distR="0" wp14:anchorId="0DA702F7" wp14:editId="5B2978EC">
            <wp:extent cx="5398936" cy="3466768"/>
            <wp:effectExtent l="0" t="0" r="11430" b="6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093C" w:rsidRPr="00450894" w:rsidRDefault="00BF06D7" w:rsidP="006C04F5">
      <w:pPr>
        <w:jc w:val="both"/>
        <w:rPr>
          <w:lang w:val="sq-AL"/>
        </w:rPr>
      </w:pPr>
      <w:r>
        <w:rPr>
          <w:lang w:val="sq-AL"/>
        </w:rPr>
        <w:lastRenderedPageBreak/>
        <w:t xml:space="preserve">Slika 1 pokazuje da su aktuelni </w:t>
      </w:r>
      <w:r w:rsidR="000047E5" w:rsidRPr="000047E5">
        <w:rPr>
          <w:lang w:val="sq-AL"/>
        </w:rPr>
        <w:t>operativni trošk</w:t>
      </w:r>
      <w:r w:rsidR="000047E5">
        <w:rPr>
          <w:lang w:val="sq-AL"/>
        </w:rPr>
        <w:t xml:space="preserve">ovi i </w:t>
      </w:r>
      <w:r w:rsidR="000047E5" w:rsidRPr="000047E5">
        <w:rPr>
          <w:lang w:val="sq-AL"/>
        </w:rPr>
        <w:t>održavanja u 2016. god</w:t>
      </w:r>
      <w:r w:rsidR="00A86C18">
        <w:rPr>
          <w:lang w:val="sq-AL"/>
        </w:rPr>
        <w:t xml:space="preserve">ini fluktuirali sa 4,9 miliona </w:t>
      </w:r>
      <w:r w:rsidR="00A86C18" w:rsidRPr="007F49D2">
        <w:rPr>
          <w:lang w:val="sq-AL"/>
        </w:rPr>
        <w:t xml:space="preserve">€ </w:t>
      </w:r>
      <w:r w:rsidR="00A86C18">
        <w:rPr>
          <w:lang w:val="sq-AL"/>
        </w:rPr>
        <w:t xml:space="preserve"> na 5,4 miliona </w:t>
      </w:r>
      <w:r w:rsidR="00A86C18" w:rsidRPr="007F49D2">
        <w:rPr>
          <w:lang w:val="sq-AL"/>
        </w:rPr>
        <w:t xml:space="preserve">€ </w:t>
      </w:r>
      <w:r w:rsidR="000047E5" w:rsidRPr="000047E5">
        <w:rPr>
          <w:lang w:val="sq-AL"/>
        </w:rPr>
        <w:t xml:space="preserve"> u 2020. godini, pri čemu se većina ovih </w:t>
      </w:r>
      <w:r w:rsidR="000047E5">
        <w:rPr>
          <w:lang w:val="sq-AL"/>
        </w:rPr>
        <w:t>promena može pripisati Drugim Operativnim T</w:t>
      </w:r>
      <w:r w:rsidR="000047E5" w:rsidRPr="000047E5">
        <w:rPr>
          <w:lang w:val="sq-AL"/>
        </w:rPr>
        <w:t xml:space="preserve">roškovima koji su </w:t>
      </w:r>
      <w:r w:rsidR="00A86C18">
        <w:rPr>
          <w:lang w:val="sq-AL"/>
        </w:rPr>
        <w:t xml:space="preserve">izgleda porasli sa 0,7 miliona </w:t>
      </w:r>
      <w:r w:rsidR="00A86C18" w:rsidRPr="007F49D2">
        <w:rPr>
          <w:lang w:val="sq-AL"/>
        </w:rPr>
        <w:t xml:space="preserve">€ </w:t>
      </w:r>
      <w:r w:rsidR="00A86C18">
        <w:rPr>
          <w:lang w:val="sq-AL"/>
        </w:rPr>
        <w:t xml:space="preserve"> u 2016. na 1,9 miliona </w:t>
      </w:r>
      <w:r w:rsidR="00A86C18" w:rsidRPr="007F49D2">
        <w:rPr>
          <w:lang w:val="sq-AL"/>
        </w:rPr>
        <w:t xml:space="preserve">€ </w:t>
      </w:r>
      <w:r w:rsidR="000047E5" w:rsidRPr="000047E5">
        <w:rPr>
          <w:lang w:val="sq-AL"/>
        </w:rPr>
        <w:t xml:space="preserve"> u 2018</w:t>
      </w:r>
      <w:r w:rsidR="00A86C18">
        <w:rPr>
          <w:lang w:val="sq-AL"/>
        </w:rPr>
        <w:t>. godini.</w:t>
      </w:r>
    </w:p>
    <w:p w:rsidR="0075093C" w:rsidRPr="00450894" w:rsidRDefault="00A86C18" w:rsidP="006C04F5">
      <w:pPr>
        <w:jc w:val="both"/>
        <w:rPr>
          <w:lang w:val="sq-AL"/>
        </w:rPr>
      </w:pPr>
      <w:r>
        <w:rPr>
          <w:lang w:val="sq-AL"/>
        </w:rPr>
        <w:t>Nekontrol</w:t>
      </w:r>
      <w:r w:rsidR="00AE0E3C">
        <w:rPr>
          <w:lang w:val="sq-AL"/>
        </w:rPr>
        <w:t>isani Opex</w:t>
      </w:r>
      <w:r w:rsidR="00802871">
        <w:rPr>
          <w:lang w:val="sq-AL"/>
        </w:rPr>
        <w:t xml:space="preserve">  SUU-a</w:t>
      </w:r>
      <w:r w:rsidRPr="00A86C18">
        <w:rPr>
          <w:lang w:val="sq-AL"/>
        </w:rPr>
        <w:t xml:space="preserve"> se direktno odnosi na zajedničke usluge u vezi sa korporativnim uslugama, kao što su: ljudski resursi, finansije, nabavke, pravne usluge, IT, pravne usluge, revizija, transport i logistika, i arhive</w:t>
      </w:r>
      <w:r w:rsidR="00802871">
        <w:rPr>
          <w:lang w:val="sq-AL"/>
        </w:rPr>
        <w:t>.</w:t>
      </w:r>
    </w:p>
    <w:p w:rsidR="0075093C" w:rsidRPr="00EF4D5D" w:rsidRDefault="006362E8" w:rsidP="006C04F5">
      <w:pPr>
        <w:jc w:val="both"/>
        <w:rPr>
          <w:lang w:val="sq-AL"/>
        </w:rPr>
      </w:pPr>
      <w:r w:rsidRPr="006362E8">
        <w:rPr>
          <w:lang w:val="sq-AL"/>
        </w:rPr>
        <w:t>Operativni troškovi i</w:t>
      </w:r>
      <w:r>
        <w:rPr>
          <w:lang w:val="sq-AL"/>
        </w:rPr>
        <w:t xml:space="preserve"> </w:t>
      </w:r>
      <w:r w:rsidRPr="006362E8">
        <w:rPr>
          <w:lang w:val="sq-AL"/>
        </w:rPr>
        <w:t>održavanja, koje regulator</w:t>
      </w:r>
      <w:r>
        <w:rPr>
          <w:lang w:val="sq-AL"/>
        </w:rPr>
        <w:t xml:space="preserve"> prepoznaje kao razumne za SUU/</w:t>
      </w:r>
      <w:r w:rsidRPr="006362E8">
        <w:rPr>
          <w:lang w:val="sq-AL"/>
        </w:rPr>
        <w:t>KESCO sast</w:t>
      </w:r>
      <w:r>
        <w:rPr>
          <w:lang w:val="sq-AL"/>
        </w:rPr>
        <w:t>oje se od dve glavne kategorije</w:t>
      </w:r>
      <w:r w:rsidR="0075093C" w:rsidRPr="00EF4D5D">
        <w:rPr>
          <w:lang w:val="sq-AL"/>
        </w:rPr>
        <w:t xml:space="preserve">: </w:t>
      </w:r>
    </w:p>
    <w:p w:rsidR="0075093C" w:rsidRPr="00EF4D5D" w:rsidRDefault="006362E8" w:rsidP="006362E8">
      <w:pPr>
        <w:pStyle w:val="ListParagraph"/>
        <w:numPr>
          <w:ilvl w:val="0"/>
          <w:numId w:val="10"/>
        </w:numPr>
        <w:rPr>
          <w:lang w:val="sq-AL"/>
        </w:rPr>
      </w:pPr>
      <w:r w:rsidRPr="006362E8">
        <w:rPr>
          <w:b/>
          <w:lang w:val="sq-AL"/>
        </w:rPr>
        <w:t xml:space="preserve">Troškovi koji se mogu kontrolisati </w:t>
      </w:r>
      <w:r w:rsidRPr="006362E8">
        <w:rPr>
          <w:lang w:val="sq-AL"/>
        </w:rPr>
        <w:t xml:space="preserve">(nad kojima operater može imati kontrolu i </w:t>
      </w:r>
      <w:r>
        <w:rPr>
          <w:lang w:val="sq-AL"/>
        </w:rPr>
        <w:t xml:space="preserve">uticati na njih kroz </w:t>
      </w:r>
      <w:r w:rsidRPr="006362E8">
        <w:rPr>
          <w:lang w:val="sq-AL"/>
        </w:rPr>
        <w:t>menadžerske i operativne radnje) koji uključuju:</w:t>
      </w:r>
      <w:r>
        <w:rPr>
          <w:b/>
          <w:lang w:val="sq-AL"/>
        </w:rPr>
        <w:t xml:space="preserve"> </w:t>
      </w:r>
      <w:r w:rsidR="0075093C" w:rsidRPr="00EF4D5D">
        <w:rPr>
          <w:lang w:val="sq-AL"/>
        </w:rPr>
        <w:t xml:space="preserve"> </w:t>
      </w:r>
    </w:p>
    <w:p w:rsidR="0075093C" w:rsidRPr="00B26335" w:rsidRDefault="006362E8" w:rsidP="006362E8">
      <w:pPr>
        <w:pStyle w:val="ListParagraph"/>
        <w:numPr>
          <w:ilvl w:val="1"/>
          <w:numId w:val="10"/>
        </w:numPr>
        <w:rPr>
          <w:lang w:val="sq-AL"/>
        </w:rPr>
      </w:pPr>
      <w:r w:rsidRPr="006362E8">
        <w:rPr>
          <w:lang w:val="sq-AL"/>
        </w:rPr>
        <w:t>Troškovi osoblja</w:t>
      </w:r>
    </w:p>
    <w:p w:rsidR="0075093C" w:rsidRPr="00B1408C" w:rsidRDefault="006362E8" w:rsidP="006362E8">
      <w:pPr>
        <w:pStyle w:val="ListParagraph"/>
        <w:numPr>
          <w:ilvl w:val="1"/>
          <w:numId w:val="10"/>
        </w:numPr>
        <w:rPr>
          <w:lang w:val="sq-AL"/>
        </w:rPr>
      </w:pPr>
      <w:r>
        <w:rPr>
          <w:lang w:val="sq-AL"/>
        </w:rPr>
        <w:t>Održavanje, Inventar i Z</w:t>
      </w:r>
      <w:r w:rsidRPr="006362E8">
        <w:rPr>
          <w:lang w:val="sq-AL"/>
        </w:rPr>
        <w:t>alihe</w:t>
      </w:r>
    </w:p>
    <w:p w:rsidR="0075093C" w:rsidRPr="00450894" w:rsidRDefault="006362E8" w:rsidP="0075093C">
      <w:pPr>
        <w:pStyle w:val="ListParagraph"/>
        <w:numPr>
          <w:ilvl w:val="1"/>
          <w:numId w:val="10"/>
        </w:numPr>
        <w:rPr>
          <w:lang w:val="sq-AL"/>
        </w:rPr>
      </w:pPr>
      <w:r>
        <w:rPr>
          <w:lang w:val="sq-AL"/>
        </w:rPr>
        <w:t>Obezbednost</w:t>
      </w:r>
    </w:p>
    <w:p w:rsidR="0075093C" w:rsidRPr="00450894" w:rsidRDefault="006362E8" w:rsidP="006362E8">
      <w:pPr>
        <w:pStyle w:val="ListParagraph"/>
        <w:numPr>
          <w:ilvl w:val="1"/>
          <w:numId w:val="10"/>
        </w:numPr>
        <w:rPr>
          <w:lang w:val="sq-AL"/>
        </w:rPr>
      </w:pPr>
      <w:r w:rsidRPr="006362E8">
        <w:rPr>
          <w:lang w:val="sq-AL"/>
        </w:rPr>
        <w:t>Ostali operativni troškovi</w:t>
      </w:r>
    </w:p>
    <w:p w:rsidR="0075093C" w:rsidRPr="00450894" w:rsidRDefault="006362E8" w:rsidP="006362E8">
      <w:pPr>
        <w:pStyle w:val="ListParagraph"/>
        <w:numPr>
          <w:ilvl w:val="1"/>
          <w:numId w:val="10"/>
        </w:numPr>
        <w:rPr>
          <w:lang w:val="sq-AL"/>
        </w:rPr>
      </w:pPr>
      <w:r w:rsidRPr="006362E8">
        <w:rPr>
          <w:lang w:val="sq-AL"/>
        </w:rPr>
        <w:t>Finansijski troškovi</w:t>
      </w:r>
    </w:p>
    <w:p w:rsidR="0075093C" w:rsidRPr="003C06AF" w:rsidRDefault="006362E8" w:rsidP="006362E8">
      <w:pPr>
        <w:pStyle w:val="ListParagraph"/>
        <w:numPr>
          <w:ilvl w:val="0"/>
          <w:numId w:val="10"/>
        </w:numPr>
        <w:rPr>
          <w:lang w:val="sq-AL"/>
        </w:rPr>
      </w:pPr>
      <w:r w:rsidRPr="006362E8">
        <w:rPr>
          <w:b/>
          <w:lang w:val="sq-AL"/>
        </w:rPr>
        <w:t xml:space="preserve">Nekontrolisani troškovi </w:t>
      </w:r>
      <w:r w:rsidRPr="006362E8">
        <w:rPr>
          <w:lang w:val="sq-AL"/>
        </w:rPr>
        <w:t xml:space="preserve">(koji zavise od tržišnih cena i na koje KESCO ne može imati </w:t>
      </w:r>
      <w:r>
        <w:rPr>
          <w:lang w:val="sq-AL"/>
        </w:rPr>
        <w:t>značajan uticaj) koji uključuju</w:t>
      </w:r>
      <w:r w:rsidR="0075093C" w:rsidRPr="003C06AF">
        <w:rPr>
          <w:lang w:val="sq-AL"/>
        </w:rPr>
        <w:t>:</w:t>
      </w:r>
    </w:p>
    <w:p w:rsidR="0075093C" w:rsidRPr="00B1408C" w:rsidRDefault="006362E8" w:rsidP="006362E8">
      <w:pPr>
        <w:pStyle w:val="ListParagraph"/>
        <w:numPr>
          <w:ilvl w:val="1"/>
          <w:numId w:val="10"/>
        </w:numPr>
        <w:rPr>
          <w:lang w:val="sq-AL"/>
        </w:rPr>
      </w:pPr>
      <w:r w:rsidRPr="006362E8">
        <w:rPr>
          <w:lang w:val="sq-AL"/>
        </w:rPr>
        <w:t xml:space="preserve">Troškovi za zajedničke usluge i zakup </w:t>
      </w:r>
    </w:p>
    <w:p w:rsidR="0075093C" w:rsidRPr="00450894" w:rsidRDefault="006362E8" w:rsidP="0075093C">
      <w:pPr>
        <w:rPr>
          <w:lang w:val="sq-AL"/>
        </w:rPr>
      </w:pPr>
      <w:r w:rsidRPr="006362E8">
        <w:rPr>
          <w:lang w:val="sq-AL"/>
        </w:rPr>
        <w:t xml:space="preserve">Pristup koji koristi RUE u proceni operativnih troškova </w:t>
      </w:r>
      <w:r>
        <w:rPr>
          <w:lang w:val="sq-AL"/>
        </w:rPr>
        <w:t>za period 2022-2024 je kao na sledeće:</w:t>
      </w:r>
    </w:p>
    <w:p w:rsidR="0075093C" w:rsidRPr="00450894" w:rsidRDefault="006362E8" w:rsidP="006362E8">
      <w:pPr>
        <w:pStyle w:val="ListParagraph"/>
        <w:numPr>
          <w:ilvl w:val="0"/>
          <w:numId w:val="7"/>
        </w:numPr>
        <w:rPr>
          <w:lang w:val="sq-AL"/>
        </w:rPr>
      </w:pPr>
      <w:r w:rsidRPr="006362E8">
        <w:rPr>
          <w:lang w:val="sq-AL"/>
        </w:rPr>
        <w:t>RUE je analizirao realizovane podatke operativnih troškova za svaku stavku za period 2</w:t>
      </w:r>
      <w:r w:rsidR="00B079BF">
        <w:rPr>
          <w:lang w:val="sq-AL"/>
        </w:rPr>
        <w:t>016-2020 na osnovu revidiranih Finansijskih I</w:t>
      </w:r>
      <w:r w:rsidRPr="006362E8">
        <w:rPr>
          <w:lang w:val="sq-AL"/>
        </w:rPr>
        <w:t>zveštaja i obrazaca</w:t>
      </w:r>
      <w:r w:rsidR="00B079BF">
        <w:rPr>
          <w:lang w:val="sq-AL"/>
        </w:rPr>
        <w:t xml:space="preserve"> popunjenih od strane KESCO-SUU</w:t>
      </w:r>
      <w:r w:rsidR="00BF06D7">
        <w:rPr>
          <w:lang w:val="sq-AL"/>
        </w:rPr>
        <w:t>-a</w:t>
      </w:r>
      <w:r w:rsidRPr="006362E8">
        <w:rPr>
          <w:lang w:val="sq-AL"/>
        </w:rPr>
        <w:t>.</w:t>
      </w:r>
    </w:p>
    <w:p w:rsidR="0075093C" w:rsidRPr="00450894" w:rsidRDefault="002F0F77" w:rsidP="002F0F77">
      <w:pPr>
        <w:pStyle w:val="ListParagraph"/>
        <w:numPr>
          <w:ilvl w:val="0"/>
          <w:numId w:val="7"/>
        </w:numPr>
        <w:rPr>
          <w:lang w:val="sq-AL"/>
        </w:rPr>
      </w:pPr>
      <w:r>
        <w:rPr>
          <w:lang w:val="sq-AL"/>
        </w:rPr>
        <w:t>Procenjeni OPEX</w:t>
      </w:r>
      <w:r w:rsidRPr="002F0F77">
        <w:rPr>
          <w:lang w:val="sq-AL"/>
        </w:rPr>
        <w:t xml:space="preserve"> za period 2022-2024 su podeljeni u dve kategorije, kontrolisane i nekontrolisane. Faktor efikasnosti se prime</w:t>
      </w:r>
      <w:r>
        <w:rPr>
          <w:lang w:val="sq-AL"/>
        </w:rPr>
        <w:t>njuje samo na kontrolisani OPEX</w:t>
      </w:r>
      <w:r w:rsidRPr="002F0F77">
        <w:rPr>
          <w:lang w:val="sq-AL"/>
        </w:rPr>
        <w:t xml:space="preserve"> počevši od 2023. godine, dok se pretposta</w:t>
      </w:r>
      <w:r>
        <w:rPr>
          <w:lang w:val="sq-AL"/>
        </w:rPr>
        <w:t>vlja da će nekontrolisani OPEX</w:t>
      </w:r>
      <w:r w:rsidRPr="002F0F77">
        <w:rPr>
          <w:lang w:val="sq-AL"/>
        </w:rPr>
        <w:t xml:space="preserve"> ostati nepromenjen jer je predmet godišnjih ažuriranja na osnovu faktura između strana.</w:t>
      </w:r>
    </w:p>
    <w:p w:rsidR="0075093C" w:rsidRPr="00CC5249" w:rsidRDefault="00EF423E" w:rsidP="00EF423E">
      <w:pPr>
        <w:pStyle w:val="ListParagraph"/>
        <w:numPr>
          <w:ilvl w:val="0"/>
          <w:numId w:val="7"/>
        </w:numPr>
        <w:rPr>
          <w:lang w:val="sq-AL"/>
        </w:rPr>
      </w:pPr>
      <w:r>
        <w:rPr>
          <w:lang w:val="sq-AL"/>
        </w:rPr>
        <w:t>Procena OPEX</w:t>
      </w:r>
      <w:r w:rsidRPr="00EF423E">
        <w:rPr>
          <w:lang w:val="sq-AL"/>
        </w:rPr>
        <w:t xml:space="preserve"> </w:t>
      </w:r>
      <w:r>
        <w:rPr>
          <w:lang w:val="sq-AL"/>
        </w:rPr>
        <w:t>je korišćena razmatrajući</w:t>
      </w:r>
      <w:r w:rsidRPr="00EF423E">
        <w:rPr>
          <w:lang w:val="sq-AL"/>
        </w:rPr>
        <w:t xml:space="preserve"> njen prosečni nivo ostvaren za period 2016-2020 za stavke: troškovi osoblja, materijala i održavanja i inventara, osiguranje, ostali operativni troškovi i finansijski troškovi. S obzirom da su u 2018. </w:t>
      </w:r>
      <w:r>
        <w:rPr>
          <w:lang w:val="sq-AL"/>
        </w:rPr>
        <w:t>godini ostali operativni tro</w:t>
      </w:r>
      <w:r>
        <w:rPr>
          <w:rFonts w:cs="Calibri"/>
          <w:lang w:val="sq-AL"/>
        </w:rPr>
        <w:t>š</w:t>
      </w:r>
      <w:r>
        <w:rPr>
          <w:lang w:val="sq-AL"/>
        </w:rPr>
        <w:t>kovi</w:t>
      </w:r>
      <w:r w:rsidRPr="00EF423E">
        <w:rPr>
          <w:lang w:val="sq-AL"/>
        </w:rPr>
        <w:t xml:space="preserve"> na nivoima van trenda potrošnje iz perioda 201</w:t>
      </w:r>
      <w:r>
        <w:rPr>
          <w:lang w:val="sq-AL"/>
        </w:rPr>
        <w:t>6-2020, RUE nije našao opravdanje</w:t>
      </w:r>
      <w:r w:rsidRPr="00EF423E">
        <w:rPr>
          <w:lang w:val="sq-AL"/>
        </w:rPr>
        <w:t xml:space="preserve"> u pogledu ovih troš</w:t>
      </w:r>
      <w:r>
        <w:rPr>
          <w:lang w:val="sq-AL"/>
        </w:rPr>
        <w:t>kova, od kojih su 1,13 miliona Evra tro</w:t>
      </w:r>
      <w:r>
        <w:rPr>
          <w:rFonts w:cs="Calibri"/>
          <w:lang w:val="sq-AL"/>
        </w:rPr>
        <w:t>š</w:t>
      </w:r>
      <w:r>
        <w:rPr>
          <w:lang w:val="sq-AL"/>
        </w:rPr>
        <w:t>kovi za podršku menad</w:t>
      </w:r>
      <w:r>
        <w:rPr>
          <w:rFonts w:cs="Calibri"/>
          <w:lang w:val="sq-AL"/>
        </w:rPr>
        <w:t>ž</w:t>
      </w:r>
      <w:r>
        <w:rPr>
          <w:lang w:val="sq-AL"/>
        </w:rPr>
        <w:t>ment</w:t>
      </w:r>
      <w:r w:rsidRPr="00EF423E">
        <w:rPr>
          <w:lang w:val="sq-AL"/>
        </w:rPr>
        <w:t xml:space="preserve">u, pa je ova linija troškova isključena </w:t>
      </w:r>
      <w:r w:rsidRPr="00EF423E">
        <w:rPr>
          <w:lang w:val="sq-AL"/>
        </w:rPr>
        <w:lastRenderedPageBreak/>
        <w:t>u izračunavanje proseka perioda</w:t>
      </w:r>
      <w:r>
        <w:rPr>
          <w:lang w:val="sq-AL"/>
        </w:rPr>
        <w:t>. Prosečan nivo ostvarenih OPEX</w:t>
      </w:r>
      <w:r w:rsidR="00897467">
        <w:rPr>
          <w:lang w:val="sq-AL"/>
        </w:rPr>
        <w:t>-a se tretira kao osnovna</w:t>
      </w:r>
      <w:r w:rsidRPr="00EF423E">
        <w:rPr>
          <w:lang w:val="sq-AL"/>
        </w:rPr>
        <w:t xml:space="preserve"> vrednost </w:t>
      </w:r>
      <w:r w:rsidR="00897467">
        <w:rPr>
          <w:lang w:val="sq-AL"/>
        </w:rPr>
        <w:t>za iz</w:t>
      </w:r>
      <w:r>
        <w:rPr>
          <w:lang w:val="sq-AL"/>
        </w:rPr>
        <w:t>račun</w:t>
      </w:r>
      <w:r w:rsidR="00897467">
        <w:rPr>
          <w:lang w:val="sq-AL"/>
        </w:rPr>
        <w:t>avanje</w:t>
      </w:r>
      <w:r>
        <w:rPr>
          <w:lang w:val="sq-AL"/>
        </w:rPr>
        <w:t xml:space="preserve"> kontrolisanih OPEX</w:t>
      </w:r>
      <w:r w:rsidRPr="00EF423E">
        <w:rPr>
          <w:lang w:val="sq-AL"/>
        </w:rPr>
        <w:t>-a za period 2022-2024.</w:t>
      </w:r>
    </w:p>
    <w:p w:rsidR="0075093C" w:rsidRPr="00450894" w:rsidRDefault="009D4CB8" w:rsidP="001E5AD0">
      <w:pPr>
        <w:pStyle w:val="ListParagraph"/>
        <w:numPr>
          <w:ilvl w:val="0"/>
          <w:numId w:val="7"/>
        </w:numPr>
        <w:rPr>
          <w:lang w:val="sq-AL"/>
        </w:rPr>
      </w:pPr>
      <w:r>
        <w:rPr>
          <w:lang w:val="sq-AL"/>
        </w:rPr>
        <w:t>U okviru procene OPEX-</w:t>
      </w:r>
      <w:r w:rsidR="0072335B">
        <w:rPr>
          <w:lang w:val="sq-AL"/>
        </w:rPr>
        <w:t xml:space="preserve">a, RUE je razmatrao </w:t>
      </w:r>
      <w:r w:rsidR="001E5AD0" w:rsidRPr="001E5AD0">
        <w:rPr>
          <w:lang w:val="sq-AL"/>
        </w:rPr>
        <w:t>troškove osoblja primenom kombinovane stope inflacije za ceo period 2016-2020, kako bi se odrazil</w:t>
      </w:r>
      <w:r w:rsidR="00F86DA9">
        <w:rPr>
          <w:lang w:val="sq-AL"/>
        </w:rPr>
        <w:t>a blagovremena vrednost predvi</w:t>
      </w:r>
      <w:r w:rsidR="00F86DA9">
        <w:rPr>
          <w:rFonts w:cs="Calibri"/>
          <w:lang w:val="sq-AL"/>
        </w:rPr>
        <w:t>đ</w:t>
      </w:r>
      <w:r w:rsidR="00F86DA9">
        <w:rPr>
          <w:lang w:val="sq-AL"/>
        </w:rPr>
        <w:t>anja</w:t>
      </w:r>
      <w:r w:rsidR="001E5AD0" w:rsidRPr="001E5AD0">
        <w:rPr>
          <w:lang w:val="sq-AL"/>
        </w:rPr>
        <w:t xml:space="preserve"> ovih troškova, dok se ostali troškovi uzimaju kao činjenični ostvaruju se, jer su odražavale okolnosti koje su vladale na tržištu. To je rezultiralo povećanjem kategorije troš</w:t>
      </w:r>
      <w:r w:rsidR="00F86DA9">
        <w:rPr>
          <w:lang w:val="sq-AL"/>
        </w:rPr>
        <w:t xml:space="preserve">kova osoblja za oko 51 hiljadu Evra. Vredi </w:t>
      </w:r>
      <w:r w:rsidR="001E5AD0" w:rsidRPr="001E5AD0">
        <w:rPr>
          <w:lang w:val="sq-AL"/>
        </w:rPr>
        <w:t>pomenuti da kako bi troškovi osoblja KEDS-a i KESCO-a bili uporedivi sa troškovima</w:t>
      </w:r>
      <w:r w:rsidR="00F86DA9">
        <w:rPr>
          <w:lang w:val="sq-AL"/>
        </w:rPr>
        <w:t xml:space="preserve"> osoblja drugih licenciranih</w:t>
      </w:r>
      <w:r w:rsidR="001E5AD0" w:rsidRPr="001E5AD0">
        <w:rPr>
          <w:lang w:val="sq-AL"/>
        </w:rPr>
        <w:t xml:space="preserve"> u energetskom sektoru, RUE je u okviru p</w:t>
      </w:r>
      <w:r w:rsidR="00F86DA9">
        <w:rPr>
          <w:lang w:val="sq-AL"/>
        </w:rPr>
        <w:t>eriodične razmatranja</w:t>
      </w:r>
      <w:r w:rsidR="001E5AD0" w:rsidRPr="001E5AD0">
        <w:rPr>
          <w:lang w:val="sq-AL"/>
        </w:rPr>
        <w:t xml:space="preserve"> za regulatorni period 2018-</w:t>
      </w:r>
      <w:r w:rsidR="0072335B">
        <w:rPr>
          <w:lang w:val="sq-AL"/>
        </w:rPr>
        <w:t>2022 ažurirala troškove osoblja</w:t>
      </w:r>
      <w:r w:rsidR="001E5AD0" w:rsidRPr="001E5AD0">
        <w:rPr>
          <w:lang w:val="sq-AL"/>
        </w:rPr>
        <w:t xml:space="preserve"> za</w:t>
      </w:r>
      <w:r w:rsidR="0072335B">
        <w:rPr>
          <w:lang w:val="sq-AL"/>
        </w:rPr>
        <w:t xml:space="preserve"> KESCO u iznosu od 251 hiljada E</w:t>
      </w:r>
      <w:r w:rsidR="001E5AD0" w:rsidRPr="001E5AD0">
        <w:rPr>
          <w:lang w:val="sq-AL"/>
        </w:rPr>
        <w:t>vra, a za KEDS i KESCO ukup</w:t>
      </w:r>
      <w:r w:rsidR="00F86DA9">
        <w:rPr>
          <w:lang w:val="sq-AL"/>
        </w:rPr>
        <w:t>no u iznosu od oko 2,3 miliona E</w:t>
      </w:r>
      <w:r w:rsidR="001E5AD0" w:rsidRPr="001E5AD0">
        <w:rPr>
          <w:lang w:val="sq-AL"/>
        </w:rPr>
        <w:t>vra.</w:t>
      </w:r>
      <w:r w:rsidR="0075093C" w:rsidRPr="00450894">
        <w:rPr>
          <w:lang w:val="sq-AL"/>
        </w:rPr>
        <w:t xml:space="preserve"> </w:t>
      </w:r>
    </w:p>
    <w:p w:rsidR="0075093C" w:rsidRPr="00450894" w:rsidRDefault="00615362" w:rsidP="00B57801">
      <w:pPr>
        <w:jc w:val="both"/>
        <w:rPr>
          <w:lang w:val="sq-AL"/>
        </w:rPr>
      </w:pPr>
      <w:r>
        <w:rPr>
          <w:lang w:val="sq-AL"/>
        </w:rPr>
        <w:t>U nekontrolisanoj predvi</w:t>
      </w:r>
      <w:r>
        <w:rPr>
          <w:rFonts w:cstheme="minorHAnsi"/>
          <w:lang w:val="sq-AL"/>
        </w:rPr>
        <w:t>đ</w:t>
      </w:r>
      <w:r>
        <w:rPr>
          <w:lang w:val="sq-AL"/>
        </w:rPr>
        <w:t>anju OPEX</w:t>
      </w:r>
      <w:r w:rsidRPr="00615362">
        <w:rPr>
          <w:lang w:val="sq-AL"/>
        </w:rPr>
        <w:t>-a uključuje troškove zajedničkih usluga: finansije i računovodstvene usluge, nabavke, pravne usluge, IT, ljudske resurse, odnose s javnošću, transport i logistiku i arhivu i upravljan</w:t>
      </w:r>
      <w:r>
        <w:rPr>
          <w:lang w:val="sq-AL"/>
        </w:rPr>
        <w:t xml:space="preserve">je dokumentima. Pored toga, </w:t>
      </w:r>
      <w:r w:rsidR="00AD5C41">
        <w:rPr>
          <w:lang w:val="sq-AL"/>
        </w:rPr>
        <w:t>KEDS takođe pru</w:t>
      </w:r>
      <w:r w:rsidR="00AD5C41">
        <w:rPr>
          <w:rFonts w:cstheme="minorHAnsi"/>
          <w:lang w:val="sq-AL"/>
        </w:rPr>
        <w:t>ž</w:t>
      </w:r>
      <w:r w:rsidR="00AD5C41">
        <w:rPr>
          <w:lang w:val="sq-AL"/>
        </w:rPr>
        <w:t>a</w:t>
      </w:r>
      <w:r w:rsidRPr="00615362">
        <w:rPr>
          <w:lang w:val="sq-AL"/>
        </w:rPr>
        <w:t xml:space="preserve"> objekte za iznajmljivanje za KESCO, koji se tretiraju po istom principu ostali</w:t>
      </w:r>
      <w:r w:rsidR="00C020D4">
        <w:rPr>
          <w:lang w:val="sq-AL"/>
        </w:rPr>
        <w:t>h zajedničkih troškova. Predvi</w:t>
      </w:r>
      <w:r w:rsidR="00C020D4">
        <w:rPr>
          <w:rFonts w:cstheme="minorHAnsi"/>
          <w:lang w:val="sq-AL"/>
        </w:rPr>
        <w:t>đ</w:t>
      </w:r>
      <w:r w:rsidR="00C020D4">
        <w:rPr>
          <w:lang w:val="sq-AL"/>
        </w:rPr>
        <w:t>anje</w:t>
      </w:r>
      <w:r w:rsidRPr="00615362">
        <w:rPr>
          <w:lang w:val="sq-AL"/>
        </w:rPr>
        <w:t xml:space="preserve"> nekontrolis</w:t>
      </w:r>
      <w:r w:rsidR="00C020D4">
        <w:rPr>
          <w:lang w:val="sq-AL"/>
        </w:rPr>
        <w:t>anog OPEX</w:t>
      </w:r>
      <w:r w:rsidRPr="00615362">
        <w:rPr>
          <w:lang w:val="sq-AL"/>
        </w:rPr>
        <w:t>-a koji uključuje troškove za zajedničke usluge zasnovana je na proseku ovih troškova za period 2016-2020.</w:t>
      </w:r>
      <w:r>
        <w:rPr>
          <w:lang w:val="sq-AL"/>
        </w:rPr>
        <w:t xml:space="preserve"> </w:t>
      </w:r>
      <w:r w:rsidR="00C020D4">
        <w:rPr>
          <w:lang w:val="sq-AL"/>
        </w:rPr>
        <w:t xml:space="preserve">Vredi </w:t>
      </w:r>
      <w:r w:rsidR="00C020D4" w:rsidRPr="00C020D4">
        <w:rPr>
          <w:lang w:val="sq-AL"/>
        </w:rPr>
        <w:t xml:space="preserve">pomenuti da su troškovi za Zajedničke usluge preračunati u realne izraze tako što se prosek </w:t>
      </w:r>
      <w:r w:rsidR="001E6E36">
        <w:rPr>
          <w:lang w:val="sq-AL"/>
        </w:rPr>
        <w:t>ovih troškova podeli sa stopom “</w:t>
      </w:r>
      <w:r w:rsidR="00266474">
        <w:rPr>
          <w:lang w:val="sq-AL"/>
        </w:rPr>
        <w:t>troškovi plus“ koja su naplaćena</w:t>
      </w:r>
      <w:r w:rsidR="00C020D4" w:rsidRPr="00C020D4">
        <w:rPr>
          <w:lang w:val="sq-AL"/>
        </w:rPr>
        <w:t xml:space="preserve"> između strana od 5,5%. Ovo je urađeno kako bi se izbegle nepotrebne transakcije, jer bi u slučaju uključivanja kamata ti prihodi bili odbijeni ODS-u</w:t>
      </w:r>
      <w:r w:rsidR="007876E2">
        <w:rPr>
          <w:lang w:val="sq-AL"/>
        </w:rPr>
        <w:t>. Prosečna vrednost ovih tro</w:t>
      </w:r>
      <w:r w:rsidR="007876E2">
        <w:rPr>
          <w:rFonts w:cstheme="minorHAnsi"/>
          <w:lang w:val="sq-AL"/>
        </w:rPr>
        <w:t>š</w:t>
      </w:r>
      <w:r w:rsidR="007876E2">
        <w:rPr>
          <w:lang w:val="sq-AL"/>
        </w:rPr>
        <w:t>kova</w:t>
      </w:r>
      <w:r w:rsidR="00C020D4" w:rsidRPr="00C020D4">
        <w:rPr>
          <w:lang w:val="sq-AL"/>
        </w:rPr>
        <w:t xml:space="preserve"> kao</w:t>
      </w:r>
      <w:r w:rsidR="007876E2">
        <w:rPr>
          <w:lang w:val="sq-AL"/>
        </w:rPr>
        <w:t xml:space="preserve"> što je gore objašnjeno je osnovna</w:t>
      </w:r>
      <w:r w:rsidR="00C020D4" w:rsidRPr="00C020D4">
        <w:rPr>
          <w:lang w:val="sq-AL"/>
        </w:rPr>
        <w:t xml:space="preserve"> </w:t>
      </w:r>
      <w:r w:rsidR="00C5422D">
        <w:rPr>
          <w:lang w:val="sq-AL"/>
        </w:rPr>
        <w:t>vrednost za izr</w:t>
      </w:r>
      <w:r w:rsidR="00C020D4" w:rsidRPr="00C020D4">
        <w:rPr>
          <w:lang w:val="sq-AL"/>
        </w:rPr>
        <w:t>ačun</w:t>
      </w:r>
      <w:r w:rsidR="00C5422D">
        <w:rPr>
          <w:lang w:val="sq-AL"/>
        </w:rPr>
        <w:t>avanje</w:t>
      </w:r>
      <w:r w:rsidR="00C020D4" w:rsidRPr="00C020D4">
        <w:rPr>
          <w:lang w:val="sq-AL"/>
        </w:rPr>
        <w:t xml:space="preserve"> nekontrolisanih operativnih troškova za period 2022-2024.</w:t>
      </w:r>
    </w:p>
    <w:p w:rsidR="0075093C" w:rsidRPr="00450894" w:rsidRDefault="007876E2" w:rsidP="00B57801">
      <w:pPr>
        <w:jc w:val="both"/>
        <w:rPr>
          <w:lang w:val="sq-AL"/>
        </w:rPr>
      </w:pPr>
      <w:r>
        <w:rPr>
          <w:lang w:val="sq-AL"/>
        </w:rPr>
        <w:t>Predlog OPEX</w:t>
      </w:r>
      <w:r w:rsidRPr="007876E2">
        <w:rPr>
          <w:lang w:val="sq-AL"/>
        </w:rPr>
        <w:t xml:space="preserve">-a je opisan u nastavku, pošto njegov konačni predlog mora prvo da odredi nivo faktora efikasnosti koji se </w:t>
      </w:r>
      <w:r w:rsidR="000B1483">
        <w:rPr>
          <w:lang w:val="sq-AL"/>
        </w:rPr>
        <w:t>primenjuje na kontrolisani OPEX</w:t>
      </w:r>
      <w:r w:rsidRPr="007876E2">
        <w:rPr>
          <w:lang w:val="sq-AL"/>
        </w:rPr>
        <w:t>.</w:t>
      </w:r>
    </w:p>
    <w:p w:rsidR="0075093C" w:rsidRPr="00450894" w:rsidRDefault="008D18A7" w:rsidP="008D18A7">
      <w:pPr>
        <w:pStyle w:val="Heading3"/>
      </w:pPr>
      <w:bookmarkStart w:id="12" w:name="_Toc88226461"/>
      <w:r w:rsidRPr="008D18A7">
        <w:rPr>
          <w:lang w:val="sq-AL"/>
        </w:rPr>
        <w:t>Faktor efikasnosti</w:t>
      </w:r>
      <w:r w:rsidRPr="008D18A7">
        <w:rPr>
          <w:b w:val="0"/>
          <w:lang w:val="sq-AL"/>
        </w:rPr>
        <w:t xml:space="preserve"> </w:t>
      </w:r>
      <w:bookmarkEnd w:id="12"/>
    </w:p>
    <w:p w:rsidR="0075093C" w:rsidRPr="00450894" w:rsidRDefault="008D18A7" w:rsidP="00B57801">
      <w:pPr>
        <w:jc w:val="both"/>
        <w:rPr>
          <w:lang w:val="sq-AL"/>
        </w:rPr>
      </w:pPr>
      <w:r w:rsidRPr="008D18A7">
        <w:rPr>
          <w:lang w:val="sq-AL"/>
        </w:rPr>
        <w:t xml:space="preserve">U cilju podsticanja ušteda u troškovima poslovanja, prema regulatornoj praksi preporučuje se primena faktora efikasnosti na regulisane delatnosti. Ovo će </w:t>
      </w:r>
      <w:r w:rsidR="00C311E1">
        <w:rPr>
          <w:lang w:val="sq-AL"/>
        </w:rPr>
        <w:t>obezbediti pogodnosti i za potro</w:t>
      </w:r>
      <w:r w:rsidR="00C311E1">
        <w:rPr>
          <w:rFonts w:cstheme="minorHAnsi"/>
          <w:lang w:val="sq-AL"/>
        </w:rPr>
        <w:t>š</w:t>
      </w:r>
      <w:r w:rsidR="00C311E1">
        <w:rPr>
          <w:lang w:val="sq-AL"/>
        </w:rPr>
        <w:t>a</w:t>
      </w:r>
      <w:r w:rsidR="00C311E1">
        <w:rPr>
          <w:rFonts w:cstheme="minorHAnsi"/>
          <w:lang w:val="sq-AL"/>
        </w:rPr>
        <w:t>ć</w:t>
      </w:r>
      <w:r w:rsidR="00C311E1">
        <w:rPr>
          <w:lang w:val="sq-AL"/>
        </w:rPr>
        <w:t xml:space="preserve">e </w:t>
      </w:r>
      <w:r w:rsidRPr="008D18A7">
        <w:rPr>
          <w:lang w:val="sq-AL"/>
        </w:rPr>
        <w:t>i za regulisane operatere. U okviru ovih podsticaja, RUE predviđa da za period 2022-2024 primen</w:t>
      </w:r>
      <w:r w:rsidR="00C831CE">
        <w:rPr>
          <w:lang w:val="sq-AL"/>
        </w:rPr>
        <w:t>i faktore efikasnosti za snabdeva</w:t>
      </w:r>
      <w:r w:rsidR="00C831CE">
        <w:rPr>
          <w:rFonts w:cstheme="minorHAnsi"/>
          <w:lang w:val="sq-AL"/>
        </w:rPr>
        <w:t>č</w:t>
      </w:r>
      <w:r w:rsidR="00C831CE">
        <w:rPr>
          <w:lang w:val="sq-AL"/>
        </w:rPr>
        <w:t>e</w:t>
      </w:r>
      <w:r w:rsidRPr="008D18A7">
        <w:rPr>
          <w:lang w:val="sq-AL"/>
        </w:rPr>
        <w:t xml:space="preserve"> univerzalnih usluga uz</w:t>
      </w:r>
      <w:r w:rsidR="00467675">
        <w:rPr>
          <w:lang w:val="sq-AL"/>
        </w:rPr>
        <w:t>imajući u obzir potencijal SUU</w:t>
      </w:r>
      <w:r w:rsidR="00C831CE">
        <w:rPr>
          <w:lang w:val="sq-AL"/>
        </w:rPr>
        <w:t>-a</w:t>
      </w:r>
      <w:r w:rsidRPr="008D18A7">
        <w:rPr>
          <w:lang w:val="sq-AL"/>
        </w:rPr>
        <w:t xml:space="preserve"> za efikasnost koja se može postići tokom ovog perioda.</w:t>
      </w:r>
      <w:r w:rsidR="0075093C" w:rsidRPr="00450894">
        <w:rPr>
          <w:lang w:val="sq-AL"/>
        </w:rPr>
        <w:t xml:space="preserve"> </w:t>
      </w:r>
    </w:p>
    <w:p w:rsidR="0075093C" w:rsidRPr="00450894" w:rsidRDefault="00467675" w:rsidP="0075093C">
      <w:pPr>
        <w:pStyle w:val="Heading4"/>
        <w:rPr>
          <w:lang w:val="sq-AL"/>
        </w:rPr>
      </w:pPr>
      <w:bookmarkStart w:id="13" w:name="_Toc88226462"/>
      <w:r>
        <w:rPr>
          <w:lang w:val="sq-AL"/>
        </w:rPr>
        <w:t xml:space="preserve">Predlog </w:t>
      </w:r>
      <w:r w:rsidR="0075093C" w:rsidRPr="00450894">
        <w:rPr>
          <w:lang w:val="sq-AL"/>
        </w:rPr>
        <w:t>KESCO</w:t>
      </w:r>
      <w:bookmarkEnd w:id="13"/>
      <w:r>
        <w:rPr>
          <w:lang w:val="sq-AL"/>
        </w:rPr>
        <w:t>-a</w:t>
      </w:r>
    </w:p>
    <w:p w:rsidR="0075093C" w:rsidRPr="00450894" w:rsidRDefault="00467675" w:rsidP="00B57801">
      <w:pPr>
        <w:jc w:val="both"/>
        <w:rPr>
          <w:lang w:val="sq-AL"/>
        </w:rPr>
      </w:pPr>
      <w:r w:rsidRPr="00467675">
        <w:rPr>
          <w:lang w:val="sq-AL"/>
        </w:rPr>
        <w:t>U svojoj prijavi KESCO nije opisao nijedan poseban odeljak koji se odnosi na faktor efi</w:t>
      </w:r>
      <w:r w:rsidR="00A42991">
        <w:rPr>
          <w:lang w:val="sq-AL"/>
        </w:rPr>
        <w:t xml:space="preserve">kasnosti, ali u kontekstu OPEX </w:t>
      </w:r>
      <w:r w:rsidR="00CB1044">
        <w:rPr>
          <w:lang w:val="sq-AL"/>
        </w:rPr>
        <w:t xml:space="preserve">tretmana, KESCO-SUU </w:t>
      </w:r>
      <w:r w:rsidRPr="00467675">
        <w:rPr>
          <w:lang w:val="sq-AL"/>
        </w:rPr>
        <w:t>je naglasio da posluje u okviru dozvoljenog budžeta, stvarajući efikasnost kad god je to moguće u određenim stavkama kako bi mogao da pokrije povećane troškove u drugim stavkama.</w:t>
      </w:r>
      <w:r>
        <w:rPr>
          <w:lang w:val="sq-AL"/>
        </w:rPr>
        <w:t xml:space="preserve"> </w:t>
      </w:r>
    </w:p>
    <w:p w:rsidR="0075093C" w:rsidRPr="00450894" w:rsidRDefault="00CB1044" w:rsidP="0075093C">
      <w:pPr>
        <w:pStyle w:val="Heading4"/>
        <w:rPr>
          <w:lang w:val="sq-AL"/>
        </w:rPr>
      </w:pPr>
      <w:bookmarkStart w:id="14" w:name="_Toc88226463"/>
      <w:r>
        <w:rPr>
          <w:lang w:val="sq-AL"/>
        </w:rPr>
        <w:t>Predlog</w:t>
      </w:r>
      <w:r w:rsidR="0075093C" w:rsidRPr="00450894">
        <w:rPr>
          <w:lang w:val="sq-AL"/>
        </w:rPr>
        <w:t xml:space="preserve"> </w:t>
      </w:r>
      <w:bookmarkEnd w:id="14"/>
      <w:r>
        <w:rPr>
          <w:lang w:val="sq-AL"/>
        </w:rPr>
        <w:t>RUE-a</w:t>
      </w:r>
    </w:p>
    <w:p w:rsidR="0075093C" w:rsidRPr="00450894" w:rsidRDefault="00CB1044" w:rsidP="00B57801">
      <w:pPr>
        <w:jc w:val="both"/>
        <w:rPr>
          <w:lang w:val="sq-AL"/>
        </w:rPr>
      </w:pPr>
      <w:r>
        <w:rPr>
          <w:lang w:val="sq-AL"/>
        </w:rPr>
        <w:t>Početna vrednost OPEX</w:t>
      </w:r>
      <w:r w:rsidRPr="00CB1044">
        <w:rPr>
          <w:lang w:val="sq-AL"/>
        </w:rPr>
        <w:t>-a za 2022. prilagođava se na godišnjoj osnovi kako bi odražavala očekivanu</w:t>
      </w:r>
      <w:r>
        <w:rPr>
          <w:lang w:val="sq-AL"/>
        </w:rPr>
        <w:t xml:space="preserve"> godišnju stopu efikasnosti SUU-a</w:t>
      </w:r>
      <w:r w:rsidRPr="00CB1044">
        <w:rPr>
          <w:lang w:val="sq-AL"/>
        </w:rPr>
        <w:t>.</w:t>
      </w:r>
      <w:r w:rsidR="006D66FC">
        <w:rPr>
          <w:lang w:val="sq-AL"/>
        </w:rPr>
        <w:t xml:space="preserve"> Očekivani nivo poboljšanja SUU-</w:t>
      </w:r>
      <w:r w:rsidR="00632264">
        <w:rPr>
          <w:lang w:val="sq-AL"/>
        </w:rPr>
        <w:t>OPEX</w:t>
      </w:r>
      <w:r w:rsidR="006D66FC">
        <w:rPr>
          <w:lang w:val="sq-AL"/>
        </w:rPr>
        <w:t>-a</w:t>
      </w:r>
      <w:r w:rsidRPr="00CB1044">
        <w:rPr>
          <w:lang w:val="sq-AL"/>
        </w:rPr>
        <w:t xml:space="preserve"> zasnovan je na pokretačima poboljšanja produktivnosti.</w:t>
      </w:r>
      <w:r w:rsidR="0075093C" w:rsidRPr="00450894">
        <w:rPr>
          <w:lang w:val="sq-AL"/>
        </w:rPr>
        <w:t xml:space="preserve"> </w:t>
      </w:r>
    </w:p>
    <w:p w:rsidR="0075093C" w:rsidRPr="00450894" w:rsidRDefault="00A3138C" w:rsidP="00B57801">
      <w:pPr>
        <w:jc w:val="both"/>
        <w:rPr>
          <w:lang w:val="sq-AL"/>
        </w:rPr>
      </w:pPr>
      <w:r w:rsidRPr="00A3138C">
        <w:rPr>
          <w:lang w:val="sq-AL"/>
        </w:rPr>
        <w:lastRenderedPageBreak/>
        <w:t>U skladu s</w:t>
      </w:r>
      <w:r>
        <w:rPr>
          <w:lang w:val="sq-AL"/>
        </w:rPr>
        <w:t xml:space="preserve">a procenama datim u </w:t>
      </w:r>
      <w:r w:rsidRPr="00A3138C">
        <w:rPr>
          <w:lang w:val="sq-AL"/>
        </w:rPr>
        <w:t>u proučavanju faktora efikasnos</w:t>
      </w:r>
      <w:r w:rsidR="00A849CB">
        <w:rPr>
          <w:lang w:val="sq-AL"/>
        </w:rPr>
        <w:t>ti mrežnih operatera i studiranja</w:t>
      </w:r>
      <w:r w:rsidRPr="00A3138C">
        <w:rPr>
          <w:lang w:val="sq-AL"/>
        </w:rPr>
        <w:t xml:space="preserve"> zasnovanim na literaturi, utvrđeno je da su t</w:t>
      </w:r>
      <w:r>
        <w:rPr>
          <w:lang w:val="sq-AL"/>
        </w:rPr>
        <w:t>ri glavna pokretača efikasnosti</w:t>
      </w:r>
      <w:r w:rsidR="0075093C" w:rsidRPr="00450894">
        <w:rPr>
          <w:lang w:val="sq-AL"/>
        </w:rPr>
        <w:t>:</w:t>
      </w:r>
    </w:p>
    <w:p w:rsidR="0075093C" w:rsidRPr="00450894" w:rsidRDefault="00617162" w:rsidP="00B57801">
      <w:pPr>
        <w:jc w:val="both"/>
        <w:rPr>
          <w:lang w:val="sq-AL"/>
        </w:rPr>
      </w:pPr>
      <w:r w:rsidRPr="00617162">
        <w:rPr>
          <w:b/>
          <w:lang w:val="sq-AL"/>
        </w:rPr>
        <w:t xml:space="preserve">Očekivana poboljšanja efikasnosti </w:t>
      </w:r>
      <w:r w:rsidRPr="00617162">
        <w:rPr>
          <w:lang w:val="sq-AL"/>
        </w:rPr>
        <w:t>tokom perioda 2022-2024, što će dovesti do smanjenja tro</w:t>
      </w:r>
      <w:r>
        <w:rPr>
          <w:lang w:val="sq-AL"/>
        </w:rPr>
        <w:t>škova jedinice licenciranih</w:t>
      </w:r>
      <w:r w:rsidR="00AC5C27">
        <w:rPr>
          <w:lang w:val="sq-AL"/>
        </w:rPr>
        <w:t>, i</w:t>
      </w:r>
      <w:r w:rsidRPr="00617162">
        <w:rPr>
          <w:lang w:val="sq-AL"/>
        </w:rPr>
        <w:t xml:space="preserve"> </w:t>
      </w:r>
      <w:r>
        <w:rPr>
          <w:lang w:val="sq-AL"/>
        </w:rPr>
        <w:t xml:space="preserve">posledično, smanjenja osnova opex </w:t>
      </w:r>
      <w:r w:rsidRPr="00617162">
        <w:rPr>
          <w:lang w:val="sq-AL"/>
        </w:rPr>
        <w:t xml:space="preserve"> </w:t>
      </w:r>
      <w:r w:rsidR="00AC5C27">
        <w:rPr>
          <w:lang w:val="sq-AL"/>
        </w:rPr>
        <w:t>tro</w:t>
      </w:r>
      <w:r w:rsidR="00AC5C27">
        <w:rPr>
          <w:rFonts w:cstheme="minorHAnsi"/>
          <w:lang w:val="sq-AL"/>
        </w:rPr>
        <w:t>š</w:t>
      </w:r>
      <w:r w:rsidR="00AC5C27">
        <w:rPr>
          <w:lang w:val="sq-AL"/>
        </w:rPr>
        <w:t>kov</w:t>
      </w:r>
      <w:r w:rsidR="001B615A">
        <w:rPr>
          <w:lang w:val="sq-AL"/>
        </w:rPr>
        <w:t>a</w:t>
      </w:r>
      <w:r w:rsidR="00AC5C27">
        <w:rPr>
          <w:lang w:val="sq-AL"/>
        </w:rPr>
        <w:t xml:space="preserve"> </w:t>
      </w:r>
      <w:r w:rsidRPr="00617162">
        <w:rPr>
          <w:lang w:val="sq-AL"/>
        </w:rPr>
        <w:t>u realnom iznosu tokom perioda</w:t>
      </w:r>
      <w:r w:rsidRPr="00617162">
        <w:rPr>
          <w:b/>
          <w:lang w:val="sq-AL"/>
        </w:rPr>
        <w:t xml:space="preserve"> </w:t>
      </w:r>
      <w:r w:rsidR="0075093C" w:rsidRPr="00450894">
        <w:rPr>
          <w:lang w:val="sq-AL"/>
        </w:rPr>
        <w:t xml:space="preserve">PRR2. </w:t>
      </w:r>
    </w:p>
    <w:p w:rsidR="0075093C" w:rsidRPr="00450894" w:rsidRDefault="00617162" w:rsidP="00B57801">
      <w:pPr>
        <w:jc w:val="both"/>
        <w:rPr>
          <w:lang w:val="sq-AL"/>
        </w:rPr>
      </w:pPr>
      <w:r>
        <w:rPr>
          <w:b/>
          <w:lang w:val="sq-AL"/>
        </w:rPr>
        <w:t>Realni</w:t>
      </w:r>
      <w:r w:rsidRPr="00617162">
        <w:rPr>
          <w:b/>
          <w:lang w:val="sq-AL"/>
        </w:rPr>
        <w:t xml:space="preserve"> efekti cena</w:t>
      </w:r>
      <w:r>
        <w:rPr>
          <w:b/>
          <w:lang w:val="sq-AL"/>
        </w:rPr>
        <w:t xml:space="preserve"> (REC</w:t>
      </w:r>
      <w:r w:rsidRPr="00617162">
        <w:rPr>
          <w:b/>
          <w:lang w:val="sq-AL"/>
        </w:rPr>
        <w:t xml:space="preserve">), </w:t>
      </w:r>
      <w:r w:rsidRPr="00617162">
        <w:rPr>
          <w:lang w:val="sq-AL"/>
        </w:rPr>
        <w:t>gde se očekuje da će cena inputa rasti ili</w:t>
      </w:r>
      <w:r>
        <w:rPr>
          <w:lang w:val="sq-AL"/>
        </w:rPr>
        <w:t xml:space="preserve"> pasti brže od u</w:t>
      </w:r>
      <w:r w:rsidR="00AC5C27">
        <w:rPr>
          <w:lang w:val="sq-AL"/>
        </w:rPr>
        <w:t>o</w:t>
      </w:r>
      <w:r>
        <w:rPr>
          <w:lang w:val="sq-AL"/>
        </w:rPr>
        <w:t>p</w:t>
      </w:r>
      <w:r>
        <w:rPr>
          <w:rFonts w:cstheme="minorHAnsi"/>
          <w:lang w:val="sq-AL"/>
        </w:rPr>
        <w:t>š</w:t>
      </w:r>
      <w:r>
        <w:rPr>
          <w:lang w:val="sq-AL"/>
        </w:rPr>
        <w:t>te</w:t>
      </w:r>
      <w:r w:rsidRPr="00617162">
        <w:rPr>
          <w:lang w:val="sq-AL"/>
        </w:rPr>
        <w:t xml:space="preserve"> inflacije potrošačkih cena</w:t>
      </w:r>
      <w:r>
        <w:rPr>
          <w:lang w:val="sq-AL"/>
        </w:rPr>
        <w:t xml:space="preserve"> (na koje su indeksirane osnovne Opex dozvoljivanja</w:t>
      </w:r>
      <w:r w:rsidRPr="00617162">
        <w:rPr>
          <w:lang w:val="sq-AL"/>
        </w:rPr>
        <w:t>). Ovo dovodi do povećanja ili smanjen</w:t>
      </w:r>
      <w:r w:rsidR="001B615A">
        <w:rPr>
          <w:lang w:val="sq-AL"/>
        </w:rPr>
        <w:t>ja osnovnih opex tro</w:t>
      </w:r>
      <w:r w:rsidR="001B615A">
        <w:rPr>
          <w:rFonts w:cstheme="minorHAnsi"/>
          <w:lang w:val="sq-AL"/>
        </w:rPr>
        <w:t>š</w:t>
      </w:r>
      <w:r w:rsidR="001B615A">
        <w:rPr>
          <w:lang w:val="sq-AL"/>
        </w:rPr>
        <w:t>kova</w:t>
      </w:r>
      <w:r w:rsidRPr="00617162">
        <w:rPr>
          <w:lang w:val="sq-AL"/>
        </w:rPr>
        <w:t xml:space="preserve"> u realnom iznosu tokom perioda 2022-2024.</w:t>
      </w:r>
    </w:p>
    <w:p w:rsidR="0075093C" w:rsidRPr="00450894" w:rsidRDefault="00617162" w:rsidP="00B57801">
      <w:pPr>
        <w:jc w:val="both"/>
        <w:rPr>
          <w:lang w:val="sq-AL"/>
        </w:rPr>
      </w:pPr>
      <w:r>
        <w:rPr>
          <w:b/>
          <w:lang w:val="sq-AL"/>
        </w:rPr>
        <w:t>Efekti voluma</w:t>
      </w:r>
      <w:r w:rsidRPr="00617162">
        <w:rPr>
          <w:b/>
          <w:lang w:val="sq-AL"/>
        </w:rPr>
        <w:t xml:space="preserve"> (EV), </w:t>
      </w:r>
      <w:r w:rsidRPr="00617162">
        <w:rPr>
          <w:lang w:val="sq-AL"/>
        </w:rPr>
        <w:t>kada povećanje veličine mreže dovodi do povećanih zahteva za unosom i, posledično, veći</w:t>
      </w:r>
      <w:r w:rsidR="00A94ADC">
        <w:rPr>
          <w:lang w:val="sq-AL"/>
        </w:rPr>
        <w:t>h osnovnih opex tro</w:t>
      </w:r>
      <w:r w:rsidR="00A94ADC">
        <w:rPr>
          <w:rFonts w:cstheme="minorHAnsi"/>
          <w:lang w:val="sq-AL"/>
        </w:rPr>
        <w:t>š</w:t>
      </w:r>
      <w:r w:rsidR="00A94ADC">
        <w:rPr>
          <w:lang w:val="sq-AL"/>
        </w:rPr>
        <w:t>kova</w:t>
      </w:r>
      <w:r w:rsidR="00A94ADC" w:rsidRPr="00617162">
        <w:rPr>
          <w:lang w:val="sq-AL"/>
        </w:rPr>
        <w:t xml:space="preserve"> </w:t>
      </w:r>
      <w:r w:rsidRPr="00617162">
        <w:rPr>
          <w:lang w:val="sq-AL"/>
        </w:rPr>
        <w:t>u realnom iznosu, tokom perioda PRR2.</w:t>
      </w:r>
    </w:p>
    <w:p w:rsidR="0075093C" w:rsidRPr="00450894" w:rsidRDefault="00617162" w:rsidP="00B57801">
      <w:pPr>
        <w:jc w:val="both"/>
        <w:rPr>
          <w:lang w:val="sq-AL"/>
        </w:rPr>
      </w:pPr>
      <w:r>
        <w:rPr>
          <w:lang w:val="sq-AL"/>
        </w:rPr>
        <w:t>Stav RUE je da REC</w:t>
      </w:r>
      <w:r w:rsidRPr="00617162">
        <w:rPr>
          <w:lang w:val="sq-AL"/>
        </w:rPr>
        <w:t xml:space="preserve"> i EV budu jednaki nuli i da primeni pristup zasnovan na očekivanim poboljšanjima efikasn</w:t>
      </w:r>
      <w:r>
        <w:rPr>
          <w:lang w:val="sq-AL"/>
        </w:rPr>
        <w:t>osti. U odnosu na delatnost SUU, ovakva poboljšanja značilo bi</w:t>
      </w:r>
      <w:r w:rsidRPr="00617162">
        <w:rPr>
          <w:lang w:val="sq-AL"/>
        </w:rPr>
        <w:t xml:space="preserve"> da će efikasnost biti maksimalna kada </w:t>
      </w:r>
      <w:r>
        <w:rPr>
          <w:lang w:val="sq-AL"/>
        </w:rPr>
        <w:t>se usluži maksimalan broj potro</w:t>
      </w:r>
      <w:r>
        <w:rPr>
          <w:rFonts w:cstheme="minorHAnsi"/>
          <w:lang w:val="sq-AL"/>
        </w:rPr>
        <w:t>š</w:t>
      </w:r>
      <w:r>
        <w:rPr>
          <w:lang w:val="sq-AL"/>
        </w:rPr>
        <w:t>a</w:t>
      </w:r>
      <w:r>
        <w:rPr>
          <w:rFonts w:cstheme="minorHAnsi"/>
          <w:lang w:val="sq-AL"/>
        </w:rPr>
        <w:t>ć</w:t>
      </w:r>
      <w:r>
        <w:rPr>
          <w:lang w:val="sq-AL"/>
        </w:rPr>
        <w:t>a</w:t>
      </w:r>
      <w:r w:rsidRPr="00617162">
        <w:rPr>
          <w:lang w:val="sq-AL"/>
        </w:rPr>
        <w:t xml:space="preserve"> uz minimalne troškove.</w:t>
      </w:r>
      <w:r w:rsidR="0075093C" w:rsidRPr="00450894">
        <w:rPr>
          <w:lang w:val="sq-AL"/>
        </w:rPr>
        <w:t xml:space="preserve"> </w:t>
      </w:r>
    </w:p>
    <w:p w:rsidR="0075093C" w:rsidRPr="00450894" w:rsidRDefault="00617162" w:rsidP="00B57801">
      <w:pPr>
        <w:jc w:val="both"/>
        <w:rPr>
          <w:lang w:val="sq-AL"/>
        </w:rPr>
      </w:pPr>
      <w:r w:rsidRPr="00617162">
        <w:rPr>
          <w:lang w:val="sq-AL"/>
        </w:rPr>
        <w:t xml:space="preserve">Što se tiče </w:t>
      </w:r>
      <w:r>
        <w:rPr>
          <w:lang w:val="sq-AL"/>
        </w:rPr>
        <w:t>REC</w:t>
      </w:r>
      <w:r w:rsidR="0075093C" w:rsidRPr="00450894">
        <w:rPr>
          <w:lang w:val="sq-AL"/>
        </w:rPr>
        <w:t xml:space="preserve">: </w:t>
      </w:r>
      <w:r w:rsidR="00EF3B60" w:rsidRPr="00EF3B60">
        <w:rPr>
          <w:lang w:val="sq-AL"/>
        </w:rPr>
        <w:t>Uticaj promena u stvarnim troškovima zavisi od relativnog dodavanja različitih stavki troškova ukupn</w:t>
      </w:r>
      <w:r w:rsidR="00EF3B60">
        <w:rPr>
          <w:lang w:val="sq-AL"/>
        </w:rPr>
        <w:t>im troškovima l</w:t>
      </w:r>
      <w:r w:rsidR="00EF3B60" w:rsidRPr="00EF3B60">
        <w:rPr>
          <w:lang w:val="sq-AL"/>
        </w:rPr>
        <w:t>i</w:t>
      </w:r>
      <w:r w:rsidR="00EF3B60">
        <w:rPr>
          <w:lang w:val="sq-AL"/>
        </w:rPr>
        <w:t>cenciranih u Indeksu Potrošačkih Cena (IPC</w:t>
      </w:r>
      <w:r w:rsidR="00EF3B60" w:rsidRPr="00EF3B60">
        <w:rPr>
          <w:lang w:val="sq-AL"/>
        </w:rPr>
        <w:t>) širom privrede. Na primer, ak</w:t>
      </w:r>
      <w:r w:rsidR="00EF3B60">
        <w:rPr>
          <w:lang w:val="sq-AL"/>
        </w:rPr>
        <w:t>o troškovi bakra generišu 1% IPC, ali 10% troškova X-Kompanije</w:t>
      </w:r>
      <w:r w:rsidR="00EF3B60" w:rsidRPr="00EF3B60">
        <w:rPr>
          <w:lang w:val="sq-AL"/>
        </w:rPr>
        <w:t>, onda bi p</w:t>
      </w:r>
      <w:r w:rsidR="00EF3B60">
        <w:rPr>
          <w:lang w:val="sq-AL"/>
        </w:rPr>
        <w:t>ad cene bakra od 10% smanjio IPC</w:t>
      </w:r>
      <w:r w:rsidR="00EF3B60" w:rsidRPr="00EF3B60">
        <w:rPr>
          <w:lang w:val="sq-AL"/>
        </w:rPr>
        <w:t xml:space="preserve"> za </w:t>
      </w:r>
      <w:r w:rsidR="00EF3B60">
        <w:rPr>
          <w:lang w:val="sq-AL"/>
        </w:rPr>
        <w:t xml:space="preserve">0,1%, ali bi smanjio troškove </w:t>
      </w:r>
      <w:r w:rsidR="00886EB3">
        <w:rPr>
          <w:lang w:val="sq-AL"/>
        </w:rPr>
        <w:t>X-Kompanije za 1%. Efekat aktuelne</w:t>
      </w:r>
      <w:r w:rsidR="00EF3B60" w:rsidRPr="00EF3B60">
        <w:rPr>
          <w:lang w:val="sq-AL"/>
        </w:rPr>
        <w:t xml:space="preserve"> cene u ovom slučaju bi bio -0,9%.</w:t>
      </w:r>
      <w:r w:rsidR="0075093C" w:rsidRPr="00450894">
        <w:rPr>
          <w:lang w:val="sq-AL"/>
        </w:rPr>
        <w:t xml:space="preserve"> </w:t>
      </w:r>
      <w:r w:rsidR="00EF3B60" w:rsidRPr="00EF3B60">
        <w:rPr>
          <w:lang w:val="sq-AL"/>
        </w:rPr>
        <w:t>Što se tiče EV, pozicija RUE</w:t>
      </w:r>
      <w:r w:rsidR="00EF3B60">
        <w:rPr>
          <w:lang w:val="sq-AL"/>
        </w:rPr>
        <w:t>-a</w:t>
      </w:r>
      <w:r w:rsidR="00EF3B60" w:rsidRPr="00EF3B60">
        <w:rPr>
          <w:lang w:val="sq-AL"/>
        </w:rPr>
        <w:t xml:space="preserve"> je zasnovana na sl</w:t>
      </w:r>
      <w:r w:rsidR="00EF3B60">
        <w:rPr>
          <w:lang w:val="sq-AL"/>
        </w:rPr>
        <w:t>edećem: Postoji ekonomija nivoa</w:t>
      </w:r>
      <w:r w:rsidR="00EF3B60" w:rsidRPr="00EF3B60">
        <w:rPr>
          <w:lang w:val="sq-AL"/>
        </w:rPr>
        <w:t xml:space="preserve"> u pružanju usluga u elektroenergetskoj industriji</w:t>
      </w:r>
      <w:r w:rsidR="00886EB3">
        <w:rPr>
          <w:lang w:val="sq-AL"/>
        </w:rPr>
        <w:t xml:space="preserve"> i, shodno tome, imajući u obzir</w:t>
      </w:r>
      <w:r w:rsidR="00EF3B60" w:rsidRPr="00EF3B60">
        <w:rPr>
          <w:lang w:val="sq-AL"/>
        </w:rPr>
        <w:t xml:space="preserve"> odnos operativnih troškova i broja </w:t>
      </w:r>
      <w:r w:rsidR="00EF3B60">
        <w:rPr>
          <w:lang w:val="sq-AL"/>
        </w:rPr>
        <w:t>potro</w:t>
      </w:r>
      <w:r w:rsidR="00EF3B60">
        <w:rPr>
          <w:rFonts w:cstheme="minorHAnsi"/>
          <w:lang w:val="sq-AL"/>
        </w:rPr>
        <w:t>š</w:t>
      </w:r>
      <w:r w:rsidR="00EF3B60">
        <w:rPr>
          <w:lang w:val="sq-AL"/>
        </w:rPr>
        <w:t>a</w:t>
      </w:r>
      <w:r w:rsidR="00EF3B60">
        <w:rPr>
          <w:rFonts w:cstheme="minorHAnsi"/>
          <w:lang w:val="sq-AL"/>
        </w:rPr>
        <w:t>ć</w:t>
      </w:r>
      <w:r w:rsidR="00EF3B60">
        <w:rPr>
          <w:lang w:val="sq-AL"/>
        </w:rPr>
        <w:t>a</w:t>
      </w:r>
      <w:r w:rsidR="00EF3B60" w:rsidRPr="00EF3B60">
        <w:rPr>
          <w:lang w:val="sq-AL"/>
        </w:rPr>
        <w:t>, malo je razloga da se pretpostavi da</w:t>
      </w:r>
      <w:r w:rsidR="00912908">
        <w:rPr>
          <w:lang w:val="sq-AL"/>
        </w:rPr>
        <w:t xml:space="preserve"> će se osnovni</w:t>
      </w:r>
      <w:r w:rsidR="00EF3B60">
        <w:rPr>
          <w:lang w:val="sq-AL"/>
        </w:rPr>
        <w:t xml:space="preserve"> Opex</w:t>
      </w:r>
      <w:r w:rsidR="00EF3B60" w:rsidRPr="00EF3B60">
        <w:rPr>
          <w:lang w:val="sq-AL"/>
        </w:rPr>
        <w:t xml:space="preserve"> troškovi</w:t>
      </w:r>
      <w:r w:rsidR="00EF3B60">
        <w:rPr>
          <w:lang w:val="sq-AL"/>
        </w:rPr>
        <w:t xml:space="preserve"> pove</w:t>
      </w:r>
      <w:r w:rsidR="00EF3B60">
        <w:rPr>
          <w:rFonts w:cstheme="minorHAnsi"/>
          <w:lang w:val="sq-AL"/>
        </w:rPr>
        <w:t>ć</w:t>
      </w:r>
      <w:r w:rsidR="00EF3B60">
        <w:rPr>
          <w:lang w:val="sq-AL"/>
        </w:rPr>
        <w:t>ati</w:t>
      </w:r>
      <w:r w:rsidR="00EF3B60" w:rsidRPr="00EF3B60">
        <w:rPr>
          <w:lang w:val="sq-AL"/>
        </w:rPr>
        <w:t xml:space="preserve"> zbog sve većeg broja</w:t>
      </w:r>
      <w:r w:rsidR="00EF3B60">
        <w:rPr>
          <w:lang w:val="sq-AL"/>
        </w:rPr>
        <w:t xml:space="preserve"> potro</w:t>
      </w:r>
      <w:r w:rsidR="00EF3B60">
        <w:rPr>
          <w:rFonts w:cstheme="minorHAnsi"/>
          <w:lang w:val="sq-AL"/>
        </w:rPr>
        <w:t>š</w:t>
      </w:r>
      <w:r w:rsidR="00EF3B60">
        <w:rPr>
          <w:lang w:val="sq-AL"/>
        </w:rPr>
        <w:t>a</w:t>
      </w:r>
      <w:r w:rsidR="00EF3B60">
        <w:rPr>
          <w:rFonts w:cstheme="minorHAnsi"/>
          <w:lang w:val="sq-AL"/>
        </w:rPr>
        <w:t>ć</w:t>
      </w:r>
      <w:r w:rsidR="00EF3B60">
        <w:rPr>
          <w:lang w:val="sq-AL"/>
        </w:rPr>
        <w:t>a.</w:t>
      </w:r>
      <w:r w:rsidR="00EF3B60" w:rsidRPr="00EF3B60">
        <w:rPr>
          <w:lang w:val="sq-AL"/>
        </w:rPr>
        <w:t xml:space="preserve"> </w:t>
      </w:r>
    </w:p>
    <w:p w:rsidR="0075093C" w:rsidRPr="00CC5249" w:rsidRDefault="00EF3B60" w:rsidP="00B57801">
      <w:pPr>
        <w:jc w:val="both"/>
        <w:rPr>
          <w:lang w:val="sq-AL"/>
        </w:rPr>
      </w:pPr>
      <w:r>
        <w:rPr>
          <w:lang w:val="sq-AL"/>
        </w:rPr>
        <w:t>Razmatranja</w:t>
      </w:r>
      <w:r w:rsidRPr="00EF3B60">
        <w:rPr>
          <w:lang w:val="sq-AL"/>
        </w:rPr>
        <w:t xml:space="preserve"> o nivoima očekivanja poboljšanja efikasnosti za ovu oblast elektroprivrede je teško pronaći, a takva poređenja su izazovna s obzirom na različite karakteristike parametara pri određivanju dozvoljenih priho</w:t>
      </w:r>
      <w:r>
        <w:rPr>
          <w:lang w:val="sq-AL"/>
        </w:rPr>
        <w:t>da. O ta</w:t>
      </w:r>
      <w:r w:rsidR="000E5115">
        <w:rPr>
          <w:lang w:val="sq-AL"/>
        </w:rPr>
        <w:t>kvom nalazu svedoči i razmatr</w:t>
      </w:r>
      <w:r>
        <w:rPr>
          <w:lang w:val="sq-AL"/>
        </w:rPr>
        <w:t>anje Sekretarijata Energetske Z</w:t>
      </w:r>
      <w:r w:rsidRPr="00EF3B60">
        <w:rPr>
          <w:lang w:val="sq-AL"/>
        </w:rPr>
        <w:t xml:space="preserve">ajednice iz 2013. </w:t>
      </w:r>
      <w:r>
        <w:rPr>
          <w:lang w:val="sq-AL"/>
        </w:rPr>
        <w:t>godine</w:t>
      </w:r>
      <w:r w:rsidR="0075093C" w:rsidRPr="00450894">
        <w:rPr>
          <w:lang w:val="sq-AL"/>
        </w:rPr>
        <w:t>.</w:t>
      </w:r>
      <w:r w:rsidR="0075093C" w:rsidRPr="00CC5249">
        <w:rPr>
          <w:rStyle w:val="FootnoteReference"/>
          <w:lang w:val="sq-AL"/>
        </w:rPr>
        <w:footnoteReference w:id="6"/>
      </w:r>
      <w:r w:rsidR="0075093C" w:rsidRPr="00CC5249">
        <w:rPr>
          <w:lang w:val="sq-AL"/>
        </w:rPr>
        <w:t xml:space="preserve"> </w:t>
      </w:r>
    </w:p>
    <w:p w:rsidR="0075093C" w:rsidRPr="00450894" w:rsidRDefault="00EF3B60" w:rsidP="00B57801">
      <w:pPr>
        <w:jc w:val="both"/>
        <w:rPr>
          <w:lang w:val="sq-AL"/>
        </w:rPr>
      </w:pPr>
      <w:r w:rsidRPr="00EF3B60">
        <w:rPr>
          <w:lang w:val="sq-AL"/>
        </w:rPr>
        <w:t xml:space="preserve">U proceni </w:t>
      </w:r>
      <w:r>
        <w:rPr>
          <w:lang w:val="sq-AL"/>
        </w:rPr>
        <w:t>efikasnosti, RUE je razmotrio</w:t>
      </w:r>
      <w:r w:rsidRPr="00EF3B60">
        <w:rPr>
          <w:lang w:val="sq-AL"/>
        </w:rPr>
        <w:t xml:space="preserve"> p</w:t>
      </w:r>
      <w:r>
        <w:rPr>
          <w:lang w:val="sq-AL"/>
        </w:rPr>
        <w:t>ortfelj operativnih tro</w:t>
      </w:r>
      <w:r>
        <w:rPr>
          <w:rFonts w:cstheme="minorHAnsi"/>
          <w:lang w:val="sq-AL"/>
        </w:rPr>
        <w:t>š</w:t>
      </w:r>
      <w:r>
        <w:rPr>
          <w:lang w:val="sq-AL"/>
        </w:rPr>
        <w:t xml:space="preserve">kova SUU-a </w:t>
      </w:r>
      <w:r w:rsidRPr="00EF3B60">
        <w:rPr>
          <w:lang w:val="sq-AL"/>
        </w:rPr>
        <w:t xml:space="preserve"> i procenio da samo kon</w:t>
      </w:r>
      <w:r>
        <w:rPr>
          <w:lang w:val="sq-AL"/>
        </w:rPr>
        <w:t xml:space="preserve">trolisani OPEX </w:t>
      </w:r>
      <w:r w:rsidR="000E5115">
        <w:rPr>
          <w:lang w:val="sq-AL"/>
        </w:rPr>
        <w:t>reba da bude</w:t>
      </w:r>
      <w:r w:rsidRPr="00EF3B60">
        <w:rPr>
          <w:lang w:val="sq-AL"/>
        </w:rPr>
        <w:t xml:space="preserve"> predmet poboljšanja efikasnosti, u skladu s</w:t>
      </w:r>
      <w:r>
        <w:rPr>
          <w:lang w:val="sq-AL"/>
        </w:rPr>
        <w:t>a pristupom opisanim u nastavku</w:t>
      </w:r>
      <w:r w:rsidR="0075093C" w:rsidRPr="00B1408C">
        <w:rPr>
          <w:lang w:val="sq-AL"/>
        </w:rPr>
        <w:t xml:space="preserve">: </w:t>
      </w:r>
    </w:p>
    <w:p w:rsidR="0075093C" w:rsidRPr="00450894" w:rsidRDefault="00EF3B60" w:rsidP="00EF3B60">
      <w:pPr>
        <w:pStyle w:val="ListParagraph"/>
        <w:numPr>
          <w:ilvl w:val="0"/>
          <w:numId w:val="11"/>
        </w:numPr>
        <w:rPr>
          <w:lang w:val="sq-AL"/>
        </w:rPr>
      </w:pPr>
      <w:r w:rsidRPr="00EF3B60">
        <w:rPr>
          <w:lang w:val="sq-AL"/>
        </w:rPr>
        <w:t>U procen</w:t>
      </w:r>
      <w:r>
        <w:rPr>
          <w:lang w:val="sq-AL"/>
        </w:rPr>
        <w:t>i faktora efikasnosti, po</w:t>
      </w:r>
      <w:r>
        <w:rPr>
          <w:rFonts w:cs="Calibri"/>
          <w:lang w:val="sq-AL"/>
        </w:rPr>
        <w:t>č</w:t>
      </w:r>
      <w:r>
        <w:rPr>
          <w:lang w:val="sq-AL"/>
        </w:rPr>
        <w:t>etno</w:t>
      </w:r>
      <w:r w:rsidRPr="00EF3B60">
        <w:rPr>
          <w:lang w:val="sq-AL"/>
        </w:rPr>
        <w:t xml:space="preserve"> je projektovan oč</w:t>
      </w:r>
      <w:r>
        <w:rPr>
          <w:lang w:val="sq-AL"/>
        </w:rPr>
        <w:t>ekivani nivo kontrolisanih OPEX</w:t>
      </w:r>
      <w:r w:rsidRPr="00EF3B60">
        <w:rPr>
          <w:lang w:val="sq-AL"/>
        </w:rPr>
        <w:t xml:space="preserve">-a u 2021. godini na osnovu metodologije linearnog trenda za period 2016-2020. </w:t>
      </w:r>
      <w:r w:rsidR="000E5115">
        <w:rPr>
          <w:lang w:val="sq-AL"/>
        </w:rPr>
        <w:t xml:space="preserve"> </w:t>
      </w:r>
      <w:r>
        <w:rPr>
          <w:lang w:val="sq-AL"/>
        </w:rPr>
        <w:t xml:space="preserve">Godina 2021. </w:t>
      </w:r>
      <w:r w:rsidRPr="00EF3B60">
        <w:rPr>
          <w:lang w:val="sq-AL"/>
        </w:rPr>
        <w:t xml:space="preserve"> </w:t>
      </w:r>
      <w:r>
        <w:rPr>
          <w:lang w:val="sq-AL"/>
        </w:rPr>
        <w:t>j</w:t>
      </w:r>
      <w:r w:rsidRPr="00EF3B60">
        <w:rPr>
          <w:lang w:val="sq-AL"/>
        </w:rPr>
        <w:t>e</w:t>
      </w:r>
      <w:r>
        <w:rPr>
          <w:lang w:val="sq-AL"/>
        </w:rPr>
        <w:t xml:space="preserve"> p</w:t>
      </w:r>
      <w:r w:rsidRPr="00EF3B60">
        <w:rPr>
          <w:lang w:val="sq-AL"/>
        </w:rPr>
        <w:t xml:space="preserve">rojektovana </w:t>
      </w:r>
      <w:r>
        <w:rPr>
          <w:lang w:val="sq-AL"/>
        </w:rPr>
        <w:t xml:space="preserve">kao </w:t>
      </w:r>
      <w:r w:rsidRPr="00EF3B60">
        <w:rPr>
          <w:lang w:val="sq-AL"/>
        </w:rPr>
        <w:t>osnova</w:t>
      </w:r>
      <w:r>
        <w:rPr>
          <w:lang w:val="sq-AL"/>
        </w:rPr>
        <w:t xml:space="preserve"> za poređenje sa prosečnim </w:t>
      </w:r>
      <w:r w:rsidR="000E5115">
        <w:rPr>
          <w:lang w:val="sq-AL"/>
        </w:rPr>
        <w:t xml:space="preserve">ostvarenim </w:t>
      </w:r>
      <w:r>
        <w:rPr>
          <w:lang w:val="sq-AL"/>
        </w:rPr>
        <w:t>OPEX</w:t>
      </w:r>
      <w:r w:rsidR="000E5115">
        <w:rPr>
          <w:lang w:val="sq-AL"/>
        </w:rPr>
        <w:t xml:space="preserve">-om </w:t>
      </w:r>
      <w:r w:rsidRPr="00EF3B60">
        <w:rPr>
          <w:lang w:val="sq-AL"/>
        </w:rPr>
        <w:t>za period 2016-2020.</w:t>
      </w:r>
      <w:r w:rsidR="0075093C" w:rsidRPr="00450894">
        <w:rPr>
          <w:lang w:val="sq-AL"/>
        </w:rPr>
        <w:t xml:space="preserve"> </w:t>
      </w:r>
    </w:p>
    <w:p w:rsidR="0075093C" w:rsidRPr="00450894" w:rsidRDefault="00EF3B60" w:rsidP="00EF3B60">
      <w:pPr>
        <w:pStyle w:val="ListParagraph"/>
        <w:numPr>
          <w:ilvl w:val="0"/>
          <w:numId w:val="11"/>
        </w:numPr>
        <w:rPr>
          <w:lang w:val="sq-AL"/>
        </w:rPr>
      </w:pPr>
      <w:r>
        <w:rPr>
          <w:lang w:val="sq-AL"/>
        </w:rPr>
        <w:t>Samo kontrolne OPEX</w:t>
      </w:r>
      <w:r w:rsidRPr="00EF3B60">
        <w:rPr>
          <w:lang w:val="sq-AL"/>
        </w:rPr>
        <w:t xml:space="preserve"> linije za koje se očekuju poboljšanja efikasnosti uzimaju se u obzir u izračunavanju apsolutne vrednosti efikasnosti</w:t>
      </w:r>
      <w:r w:rsidR="003F1366">
        <w:rPr>
          <w:lang w:val="sq-AL"/>
        </w:rPr>
        <w:t>.</w:t>
      </w:r>
      <w:r w:rsidRPr="00EF3B60">
        <w:rPr>
          <w:lang w:val="sq-AL"/>
        </w:rPr>
        <w:t xml:space="preserve"> </w:t>
      </w:r>
    </w:p>
    <w:p w:rsidR="0075093C" w:rsidRPr="00450894" w:rsidRDefault="00EF3B60" w:rsidP="00EF3B60">
      <w:pPr>
        <w:pStyle w:val="ListParagraph"/>
        <w:numPr>
          <w:ilvl w:val="0"/>
          <w:numId w:val="11"/>
        </w:numPr>
        <w:rPr>
          <w:lang w:val="sq-AL"/>
        </w:rPr>
      </w:pPr>
      <w:r w:rsidRPr="00EF3B60">
        <w:rPr>
          <w:lang w:val="sq-AL"/>
        </w:rPr>
        <w:lastRenderedPageBreak/>
        <w:t>Faktor efikasnosti/indeks se izračunava kao koeficijent efikasnosti u apsol</w:t>
      </w:r>
      <w:r w:rsidR="00CB5349">
        <w:rPr>
          <w:lang w:val="sq-AL"/>
        </w:rPr>
        <w:t>utnim iznosima u odnosu na OPEX</w:t>
      </w:r>
      <w:r w:rsidRPr="00EF3B60">
        <w:rPr>
          <w:lang w:val="sq-AL"/>
        </w:rPr>
        <w:t xml:space="preserve"> pre</w:t>
      </w:r>
      <w:r w:rsidR="00A2085A">
        <w:rPr>
          <w:lang w:val="sq-AL"/>
        </w:rPr>
        <w:t>d</w:t>
      </w:r>
      <w:r w:rsidRPr="00EF3B60">
        <w:rPr>
          <w:lang w:val="sq-AL"/>
        </w:rPr>
        <w:t xml:space="preserve"> efikasnosti, kao i uzimajući u obzir vremenski period od 4 godine. U matematičkom obliku ovaj proračun se može opisati na sledeći način</w:t>
      </w:r>
      <w:r w:rsidR="0075093C" w:rsidRPr="00450894">
        <w:rPr>
          <w:lang w:val="sq-AL"/>
        </w:rPr>
        <w:t>:</w:t>
      </w:r>
    </w:p>
    <w:p w:rsidR="0075093C" w:rsidRPr="00450894" w:rsidRDefault="00CB5349" w:rsidP="0075093C">
      <w:pPr>
        <w:pStyle w:val="ListParagraph"/>
        <w:rPr>
          <w:lang w:val="sq-AL"/>
        </w:rPr>
      </w:pPr>
      <w:r>
        <w:rPr>
          <w:lang w:val="sq-AL"/>
        </w:rPr>
        <w:t>[(OPEX</w:t>
      </w:r>
      <w:r>
        <w:rPr>
          <w:sz w:val="16"/>
          <w:szCs w:val="16"/>
          <w:lang w:val="sq-AL"/>
        </w:rPr>
        <w:t>ne-efikasan</w:t>
      </w:r>
      <w:r w:rsidR="0075093C" w:rsidRPr="00450894">
        <w:rPr>
          <w:vertAlign w:val="subscript"/>
          <w:lang w:val="sq-AL"/>
        </w:rPr>
        <w:t xml:space="preserve"> </w:t>
      </w:r>
      <w:r w:rsidR="0075093C" w:rsidRPr="00450894">
        <w:rPr>
          <w:lang w:val="sq-AL"/>
        </w:rPr>
        <w:t>/ OPEX</w:t>
      </w:r>
      <w:r>
        <w:rPr>
          <w:vertAlign w:val="subscript"/>
          <w:lang w:val="sq-AL"/>
        </w:rPr>
        <w:t>efikasan</w:t>
      </w:r>
      <w:r w:rsidR="0075093C" w:rsidRPr="00450894">
        <w:rPr>
          <w:lang w:val="sq-AL"/>
        </w:rPr>
        <w:t>)</w:t>
      </w:r>
      <w:r w:rsidR="0075093C" w:rsidRPr="00450894">
        <w:rPr>
          <w:vertAlign w:val="superscript"/>
          <w:lang w:val="sq-AL"/>
        </w:rPr>
        <w:t>^</w:t>
      </w:r>
      <w:r>
        <w:rPr>
          <w:lang w:val="sq-AL"/>
        </w:rPr>
        <w:t>(1/4)]-1); na kojem</w:t>
      </w:r>
    </w:p>
    <w:p w:rsidR="0075093C" w:rsidRPr="00450894" w:rsidRDefault="0075093C" w:rsidP="0075093C">
      <w:pPr>
        <w:pStyle w:val="ListParagraph"/>
        <w:rPr>
          <w:lang w:val="sq-AL"/>
        </w:rPr>
      </w:pPr>
      <w:r w:rsidRPr="00450894">
        <w:rPr>
          <w:lang w:val="sq-AL"/>
        </w:rPr>
        <w:t>OPEX</w:t>
      </w:r>
      <w:r w:rsidR="00CB5349">
        <w:rPr>
          <w:vertAlign w:val="subscript"/>
          <w:lang w:val="sq-AL"/>
        </w:rPr>
        <w:t>efikasan</w:t>
      </w:r>
      <w:r w:rsidRPr="00450894">
        <w:rPr>
          <w:vertAlign w:val="subscript"/>
          <w:lang w:val="sq-AL"/>
        </w:rPr>
        <w:t xml:space="preserve"> </w:t>
      </w:r>
      <w:r w:rsidRPr="00450894">
        <w:rPr>
          <w:lang w:val="sq-AL"/>
        </w:rPr>
        <w:t>=</w:t>
      </w:r>
      <w:r w:rsidRPr="00450894">
        <w:rPr>
          <w:vertAlign w:val="subscript"/>
          <w:lang w:val="sq-AL"/>
        </w:rPr>
        <w:t xml:space="preserve"> </w:t>
      </w:r>
      <w:r w:rsidRPr="00450894">
        <w:rPr>
          <w:lang w:val="sq-AL"/>
        </w:rPr>
        <w:t>OPEX</w:t>
      </w:r>
      <w:r w:rsidR="00CB5349">
        <w:rPr>
          <w:vertAlign w:val="subscript"/>
          <w:lang w:val="sq-AL"/>
        </w:rPr>
        <w:t>prose</w:t>
      </w:r>
      <w:r w:rsidR="00CB5349">
        <w:rPr>
          <w:rFonts w:cs="Calibri"/>
          <w:vertAlign w:val="subscript"/>
          <w:lang w:val="sq-AL"/>
        </w:rPr>
        <w:t>č</w:t>
      </w:r>
      <w:r w:rsidR="00CB5349">
        <w:rPr>
          <w:vertAlign w:val="subscript"/>
          <w:lang w:val="sq-AL"/>
        </w:rPr>
        <w:t>an</w:t>
      </w:r>
    </w:p>
    <w:p w:rsidR="0075093C" w:rsidRPr="00450894" w:rsidRDefault="0075093C" w:rsidP="0075093C">
      <w:pPr>
        <w:pStyle w:val="ListParagraph"/>
        <w:rPr>
          <w:vertAlign w:val="subscript"/>
          <w:lang w:val="sq-AL"/>
        </w:rPr>
      </w:pPr>
      <w:r w:rsidRPr="00450894">
        <w:rPr>
          <w:lang w:val="sq-AL"/>
        </w:rPr>
        <w:t>OPEX</w:t>
      </w:r>
      <w:r w:rsidR="00CB5349">
        <w:rPr>
          <w:vertAlign w:val="subscript"/>
          <w:lang w:val="sq-AL"/>
        </w:rPr>
        <w:t>ne-efikasan</w:t>
      </w:r>
      <w:r w:rsidRPr="00450894">
        <w:rPr>
          <w:lang w:val="sq-AL"/>
        </w:rPr>
        <w:t>=</w:t>
      </w:r>
      <w:r w:rsidRPr="00450894">
        <w:rPr>
          <w:vertAlign w:val="subscript"/>
          <w:lang w:val="sq-AL"/>
        </w:rPr>
        <w:t xml:space="preserve"> </w:t>
      </w:r>
      <w:r w:rsidRPr="00450894">
        <w:rPr>
          <w:lang w:val="sq-AL"/>
        </w:rPr>
        <w:t>OPEX</w:t>
      </w:r>
      <w:r w:rsidR="00CB5349">
        <w:rPr>
          <w:vertAlign w:val="subscript"/>
          <w:lang w:val="sq-AL"/>
        </w:rPr>
        <w:t>prose</w:t>
      </w:r>
      <w:r w:rsidR="00CB5349">
        <w:rPr>
          <w:rFonts w:cs="Calibri"/>
          <w:vertAlign w:val="subscript"/>
          <w:lang w:val="sq-AL"/>
        </w:rPr>
        <w:t>č</w:t>
      </w:r>
      <w:r w:rsidR="00CB5349">
        <w:rPr>
          <w:vertAlign w:val="subscript"/>
          <w:lang w:val="sq-AL"/>
        </w:rPr>
        <w:t>an</w:t>
      </w:r>
      <w:r w:rsidRPr="00450894">
        <w:rPr>
          <w:vertAlign w:val="subscript"/>
          <w:lang w:val="sq-AL"/>
        </w:rPr>
        <w:t xml:space="preserve"> </w:t>
      </w:r>
      <w:r w:rsidRPr="00450894">
        <w:rPr>
          <w:lang w:val="sq-AL"/>
        </w:rPr>
        <w:t>+</w:t>
      </w:r>
      <w:r w:rsidRPr="00450894">
        <w:rPr>
          <w:vertAlign w:val="subscript"/>
          <w:lang w:val="sq-AL"/>
        </w:rPr>
        <w:t xml:space="preserve"> </w:t>
      </w:r>
      <w:r w:rsidRPr="00450894">
        <w:rPr>
          <w:lang w:val="sq-AL"/>
        </w:rPr>
        <w:t>Efikasiteti</w:t>
      </w:r>
      <w:r w:rsidRPr="00450894">
        <w:rPr>
          <w:vertAlign w:val="subscript"/>
          <w:lang w:val="sq-AL"/>
        </w:rPr>
        <w:t>absolut</w:t>
      </w:r>
      <w:r w:rsidR="00CB5349">
        <w:rPr>
          <w:vertAlign w:val="subscript"/>
          <w:lang w:val="sq-AL"/>
        </w:rPr>
        <w:t>an</w:t>
      </w:r>
    </w:p>
    <w:p w:rsidR="0075093C" w:rsidRDefault="00CB5349" w:rsidP="0075093C">
      <w:pPr>
        <w:rPr>
          <w:lang w:val="sq-AL"/>
        </w:rPr>
      </w:pPr>
      <w:r w:rsidRPr="00CB5349">
        <w:rPr>
          <w:lang w:val="sq-AL"/>
        </w:rPr>
        <w:t xml:space="preserve">Sledi osnova iz koje su </w:t>
      </w:r>
      <w:r>
        <w:rPr>
          <w:lang w:val="sq-AL"/>
        </w:rPr>
        <w:t>urađeni izračuni za procenu OPEX</w:t>
      </w:r>
      <w:r w:rsidRPr="00CB5349">
        <w:rPr>
          <w:lang w:val="sq-AL"/>
        </w:rPr>
        <w:t>-a za period 2022-2024, što je input</w:t>
      </w:r>
      <w:r>
        <w:rPr>
          <w:lang w:val="sq-AL"/>
        </w:rPr>
        <w:t xml:space="preserve"> za primenu faktora efikasnosti</w:t>
      </w:r>
      <w:r w:rsidR="0075093C" w:rsidRPr="00B1408C">
        <w:rPr>
          <w:lang w:val="sq-AL"/>
        </w:rPr>
        <w:t>:</w:t>
      </w:r>
      <w:r w:rsidR="0075093C">
        <w:rPr>
          <w:lang w:val="sq-AL"/>
        </w:rPr>
        <w:t xml:space="preserve"> </w:t>
      </w:r>
    </w:p>
    <w:p w:rsidR="0075093C" w:rsidRPr="00B1408C" w:rsidRDefault="0075093C" w:rsidP="0075093C">
      <w:pPr>
        <w:pStyle w:val="Caption"/>
        <w:rPr>
          <w:lang w:val="sq-AL"/>
        </w:rPr>
      </w:pPr>
      <w:r>
        <w:t xml:space="preserve">Tabela  </w:t>
      </w:r>
      <w:r>
        <w:fldChar w:fldCharType="begin"/>
      </w:r>
      <w:r>
        <w:instrText xml:space="preserve"> SEQ Tabela_ \* ARABIC </w:instrText>
      </w:r>
      <w:r>
        <w:fldChar w:fldCharType="separate"/>
      </w:r>
      <w:r w:rsidR="00AC532D">
        <w:rPr>
          <w:noProof/>
        </w:rPr>
        <w:t>10</w:t>
      </w:r>
      <w:r>
        <w:fldChar w:fldCharType="end"/>
      </w:r>
      <w:r>
        <w:t xml:space="preserve"> </w:t>
      </w:r>
      <w:r w:rsidR="00A2085A">
        <w:t xml:space="preserve">Aktuelni </w:t>
      </w:r>
      <w:r w:rsidR="00CB5349">
        <w:t xml:space="preserve"> operativni troškovi </w:t>
      </w:r>
      <w:r w:rsidR="00CB5349" w:rsidRPr="00CB5349">
        <w:t>i održavanja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917"/>
        <w:gridCol w:w="1106"/>
        <w:gridCol w:w="799"/>
        <w:gridCol w:w="809"/>
        <w:gridCol w:w="1030"/>
      </w:tblGrid>
      <w:tr w:rsidR="0075093C" w:rsidRPr="007C2F61" w:rsidTr="0075093C">
        <w:trPr>
          <w:trHeight w:val="288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7C2F61" w:rsidRDefault="00CB5349" w:rsidP="007509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sq-AL" w:eastAsia="en-GB"/>
              </w:rPr>
              <w:t>Komponenti</w:t>
            </w:r>
            <w:r w:rsidR="0075093C" w:rsidRPr="007C2F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sq-AL" w:eastAsia="en-GB"/>
              </w:rPr>
              <w:t xml:space="preserve"> (€000)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7C2F61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sq-AL" w:eastAsia="en-GB"/>
              </w:rPr>
            </w:pPr>
            <w:r w:rsidRPr="007C2F61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sq-AL" w:eastAsia="en-GB"/>
              </w:rPr>
              <w:t>2016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7C2F61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sq-AL" w:eastAsia="en-GB"/>
              </w:rPr>
            </w:pPr>
            <w:r w:rsidRPr="007C2F61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sq-AL" w:eastAsia="en-GB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7C2F61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sq-AL" w:eastAsia="en-GB"/>
              </w:rPr>
            </w:pPr>
            <w:r w:rsidRPr="007C2F61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sq-AL" w:eastAsia="en-GB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7C2F61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sq-AL" w:eastAsia="en-GB"/>
              </w:rPr>
            </w:pPr>
            <w:r w:rsidRPr="007C2F61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sq-AL" w:eastAsia="en-GB"/>
              </w:rPr>
              <w:t>2019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7C2F61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sq-AL" w:eastAsia="en-GB"/>
              </w:rPr>
            </w:pPr>
            <w:r w:rsidRPr="007C2F61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sq-AL" w:eastAsia="en-GB"/>
              </w:rPr>
              <w:t>2020</w:t>
            </w:r>
          </w:p>
        </w:tc>
      </w:tr>
      <w:tr w:rsidR="0075093C" w:rsidRPr="00450894" w:rsidTr="0075093C">
        <w:trPr>
          <w:trHeight w:val="288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5093C" w:rsidRPr="00CC5249" w:rsidRDefault="00A006E0" w:rsidP="00750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K</w:t>
            </w:r>
            <w:r w:rsidR="008A3C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ontrolis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ani OPEX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5093C" w:rsidRPr="00B26335" w:rsidDel="002E5B2A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5093C" w:rsidRPr="00B1408C" w:rsidDel="002E5B2A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5093C" w:rsidRPr="00450894" w:rsidDel="002E5B2A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5093C" w:rsidRPr="00450894" w:rsidDel="002E5B2A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5093C" w:rsidRPr="00450894" w:rsidDel="002E5B2A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</w:tc>
      </w:tr>
      <w:tr w:rsidR="0075093C" w:rsidRPr="00450894" w:rsidTr="0075093C">
        <w:trPr>
          <w:trHeight w:val="288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A006E0" w:rsidP="0075093C">
            <w:pPr>
              <w:spacing w:after="0" w:line="240" w:lineRule="auto"/>
              <w:ind w:firstLine="16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A00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Troškovi osoblja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1,784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2,036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1,670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1,953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1,939</w:t>
            </w:r>
          </w:p>
        </w:tc>
      </w:tr>
      <w:tr w:rsidR="0075093C" w:rsidRPr="00450894" w:rsidTr="0075093C">
        <w:trPr>
          <w:trHeight w:val="288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8A3C42" w:rsidP="0075093C">
            <w:pPr>
              <w:spacing w:after="0" w:line="240" w:lineRule="auto"/>
              <w:ind w:firstLine="16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8A3C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Održavanje, Inventar i Zalihe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90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80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81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88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66</w:t>
            </w:r>
          </w:p>
        </w:tc>
      </w:tr>
      <w:tr w:rsidR="0075093C" w:rsidRPr="00450894" w:rsidTr="0075093C">
        <w:trPr>
          <w:trHeight w:val="288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8A3C42" w:rsidP="0075093C">
            <w:pPr>
              <w:spacing w:after="0" w:line="240" w:lineRule="auto"/>
              <w:ind w:firstLine="16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Obezbednost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377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364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340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312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307</w:t>
            </w:r>
          </w:p>
        </w:tc>
      </w:tr>
      <w:tr w:rsidR="0075093C" w:rsidRPr="00450894" w:rsidTr="0075093C">
        <w:trPr>
          <w:trHeight w:val="288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8A3C42" w:rsidP="0075093C">
            <w:pPr>
              <w:spacing w:after="0" w:line="240" w:lineRule="auto"/>
              <w:ind w:firstLine="16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8A3C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Ostali operativni troškovi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747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1,157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sz w:val="20"/>
                <w:szCs w:val="20"/>
                <w:lang w:val="sq-AL" w:eastAsia="en-GB"/>
              </w:rPr>
              <w:t>1,930*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999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900</w:t>
            </w:r>
          </w:p>
        </w:tc>
      </w:tr>
      <w:tr w:rsidR="0075093C" w:rsidRPr="00450894" w:rsidTr="0075093C">
        <w:trPr>
          <w:trHeight w:val="288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8A3C42" w:rsidP="0075093C">
            <w:pPr>
              <w:spacing w:after="0" w:line="240" w:lineRule="auto"/>
              <w:ind w:firstLine="16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8A3C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Finansijski troškovi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430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207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451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501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524</w:t>
            </w:r>
          </w:p>
        </w:tc>
      </w:tr>
      <w:tr w:rsidR="0075093C" w:rsidRPr="00450894" w:rsidTr="0075093C">
        <w:trPr>
          <w:trHeight w:val="288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5093C" w:rsidRPr="00CC5249" w:rsidRDefault="008A3C42" w:rsidP="00750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Kontrolisani OPEX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5093C" w:rsidRPr="00CC5249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begin"/>
            </w: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instrText xml:space="preserve"> =SUM(ABOVE) </w:instrText>
            </w: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separate"/>
            </w:r>
            <w:r w:rsidR="00701D2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sq-AL" w:eastAsia="en-GB"/>
              </w:rPr>
              <w:t>3,428</w:t>
            </w: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end"/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5093C" w:rsidRPr="00CC5249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begin"/>
            </w: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instrText xml:space="preserve"> =SUM(ABOVE) </w:instrText>
            </w: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separate"/>
            </w:r>
            <w:r w:rsidR="00701D2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sq-AL" w:eastAsia="en-GB"/>
              </w:rPr>
              <w:t>3,844</w:t>
            </w: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5093C" w:rsidRPr="00CC5249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begin"/>
            </w: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instrText xml:space="preserve"> =SUM(ABOVE) </w:instrText>
            </w: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separate"/>
            </w:r>
            <w:r w:rsidR="00701D2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sq-AL" w:eastAsia="en-GB"/>
              </w:rPr>
              <w:t>451</w:t>
            </w: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5093C" w:rsidRPr="00CC5249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begin"/>
            </w: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instrText xml:space="preserve"> =SUM(ABOVE) </w:instrText>
            </w: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separate"/>
            </w:r>
            <w:r w:rsidR="00701D2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sq-AL" w:eastAsia="en-GB"/>
              </w:rPr>
              <w:t>3,853</w:t>
            </w: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end"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5093C" w:rsidRPr="00CC5249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begin"/>
            </w: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instrText xml:space="preserve"> =SUM(ABOVE) </w:instrText>
            </w: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separate"/>
            </w:r>
            <w:r w:rsidR="00701D2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sq-AL" w:eastAsia="en-GB"/>
              </w:rPr>
              <w:t>3,736</w:t>
            </w:r>
            <w:r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fldChar w:fldCharType="end"/>
            </w:r>
          </w:p>
        </w:tc>
      </w:tr>
      <w:tr w:rsidR="0075093C" w:rsidRPr="00450894" w:rsidTr="0075093C">
        <w:trPr>
          <w:trHeight w:val="288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8A3C42" w:rsidP="0075093C">
            <w:pPr>
              <w:spacing w:after="0" w:line="240" w:lineRule="auto"/>
              <w:ind w:firstLine="16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8A3C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Troškovi za zajedničke usluge</w:t>
            </w:r>
            <w:r w:rsidR="0075093C" w:rsidRPr="00CC52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1,063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991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1,044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1,147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1,165</w:t>
            </w:r>
          </w:p>
        </w:tc>
      </w:tr>
      <w:tr w:rsidR="0075093C" w:rsidRPr="00450894" w:rsidTr="0075093C">
        <w:trPr>
          <w:trHeight w:val="288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8A3C42" w:rsidP="0075093C">
            <w:pPr>
              <w:spacing w:after="0" w:line="240" w:lineRule="auto"/>
              <w:ind w:firstLine="16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Zakup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473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473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473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473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473</w:t>
            </w:r>
          </w:p>
        </w:tc>
      </w:tr>
      <w:tr w:rsidR="0075093C" w:rsidRPr="00450894" w:rsidTr="0075093C">
        <w:trPr>
          <w:trHeight w:val="300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noWrap/>
            <w:vAlign w:val="center"/>
            <w:hideMark/>
          </w:tcPr>
          <w:p w:rsidR="0075093C" w:rsidRPr="00CC5249" w:rsidRDefault="00A2085A" w:rsidP="00750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 Ukupno aktuleni</w:t>
            </w:r>
            <w:r w:rsidR="008A3C42" w:rsidRPr="008A3C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 troškovi od</w:t>
            </w:r>
            <w:r w:rsidR="0075093C" w:rsidRPr="00CC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 O&amp;M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4,964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5,308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5,989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5,473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5,374</w:t>
            </w:r>
          </w:p>
        </w:tc>
      </w:tr>
    </w:tbl>
    <w:p w:rsidR="0075093C" w:rsidRPr="00CC5249" w:rsidRDefault="0075093C" w:rsidP="0075093C">
      <w:pPr>
        <w:rPr>
          <w:lang w:val="sq-AL"/>
        </w:rPr>
      </w:pPr>
    </w:p>
    <w:p w:rsidR="0075093C" w:rsidRPr="00B26335" w:rsidRDefault="0075093C" w:rsidP="0075093C">
      <w:pPr>
        <w:rPr>
          <w:i/>
          <w:lang w:val="sq-AL"/>
        </w:rPr>
      </w:pPr>
      <w:r w:rsidRPr="00B26335">
        <w:rPr>
          <w:i/>
          <w:lang w:val="sq-AL"/>
        </w:rPr>
        <w:t xml:space="preserve">* </w:t>
      </w:r>
      <w:r w:rsidR="008A3C42" w:rsidRPr="008A3C42">
        <w:rPr>
          <w:i/>
          <w:lang w:val="sq-AL"/>
        </w:rPr>
        <w:t xml:space="preserve">Ova linija troškova je isključena u obračunu proseka perioda </w:t>
      </w:r>
    </w:p>
    <w:p w:rsidR="0075093C" w:rsidRDefault="008116E9" w:rsidP="00A905B3">
      <w:pPr>
        <w:jc w:val="both"/>
        <w:rPr>
          <w:lang w:val="sq-AL"/>
        </w:rPr>
      </w:pPr>
      <w:r w:rsidRPr="008116E9">
        <w:rPr>
          <w:lang w:val="sq-AL"/>
        </w:rPr>
        <w:t>U gornjoj tabeli izračunati su prosečni troškovi kontr</w:t>
      </w:r>
      <w:r w:rsidR="00AC2A7E">
        <w:rPr>
          <w:lang w:val="sq-AL"/>
        </w:rPr>
        <w:t>olisanih i nekontrolisanih OPEX-a, što rezultira OPEX dozvoljenja</w:t>
      </w:r>
      <w:r w:rsidRPr="008116E9">
        <w:rPr>
          <w:lang w:val="sq-AL"/>
        </w:rPr>
        <w:t xml:space="preserve"> za naredni trogodišnji period kao i faktor</w:t>
      </w:r>
      <w:r w:rsidR="00AC2A7E">
        <w:rPr>
          <w:lang w:val="sq-AL"/>
        </w:rPr>
        <w:t>om efikasnosti predloženim OPEX</w:t>
      </w:r>
      <w:r w:rsidRPr="008116E9">
        <w:rPr>
          <w:lang w:val="sq-AL"/>
        </w:rPr>
        <w:t xml:space="preserve">-u. Rezultati su predstavljeni u </w:t>
      </w:r>
      <w:r w:rsidR="00AC2A7E">
        <w:rPr>
          <w:lang w:val="sq-AL"/>
        </w:rPr>
        <w:t xml:space="preserve">donjoj </w:t>
      </w:r>
      <w:r w:rsidR="0035151E">
        <w:rPr>
          <w:lang w:val="sq-AL"/>
        </w:rPr>
        <w:t>tabeli</w:t>
      </w:r>
      <w:r w:rsidRPr="008116E9">
        <w:rPr>
          <w:lang w:val="sq-AL"/>
        </w:rPr>
        <w:t>.</w:t>
      </w:r>
    </w:p>
    <w:p w:rsidR="0075093C" w:rsidRPr="00A905B3" w:rsidRDefault="0075093C" w:rsidP="0075093C">
      <w:pPr>
        <w:pStyle w:val="Caption"/>
        <w:rPr>
          <w:lang w:val="sq-AL"/>
        </w:rPr>
      </w:pPr>
      <w:r w:rsidRPr="00A905B3">
        <w:rPr>
          <w:lang w:val="sq-AL"/>
        </w:rPr>
        <w:t xml:space="preserve">Tabela  </w:t>
      </w:r>
      <w:r w:rsidRPr="00A905B3">
        <w:rPr>
          <w:lang w:val="sq-AL"/>
        </w:rPr>
        <w:fldChar w:fldCharType="begin"/>
      </w:r>
      <w:r w:rsidRPr="00A905B3">
        <w:rPr>
          <w:lang w:val="sq-AL"/>
        </w:rPr>
        <w:instrText xml:space="preserve"> SEQ Tabela_ \* ARABIC </w:instrText>
      </w:r>
      <w:r w:rsidRPr="00A905B3">
        <w:rPr>
          <w:lang w:val="sq-AL"/>
        </w:rPr>
        <w:fldChar w:fldCharType="separate"/>
      </w:r>
      <w:r w:rsidR="00AC532D">
        <w:rPr>
          <w:noProof/>
          <w:lang w:val="sq-AL"/>
        </w:rPr>
        <w:t>11</w:t>
      </w:r>
      <w:r w:rsidRPr="00A905B3">
        <w:rPr>
          <w:lang w:val="sq-AL"/>
        </w:rPr>
        <w:fldChar w:fldCharType="end"/>
      </w:r>
      <w:r w:rsidR="0035151E">
        <w:rPr>
          <w:lang w:val="sq-AL"/>
        </w:rPr>
        <w:t xml:space="preserve"> ukupan OPEX</w:t>
      </w:r>
      <w:r w:rsidR="00AC2A7E" w:rsidRPr="00AC2A7E">
        <w:rPr>
          <w:lang w:val="sq-AL"/>
        </w:rPr>
        <w:t xml:space="preserve"> nakon primene efikasnosti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7"/>
        <w:gridCol w:w="1730"/>
        <w:gridCol w:w="2117"/>
        <w:gridCol w:w="1576"/>
      </w:tblGrid>
      <w:tr w:rsidR="0075093C" w:rsidRPr="00450894" w:rsidTr="0075093C">
        <w:trPr>
          <w:trHeight w:val="288"/>
          <w:jc w:val="center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 w:eastAsia="en-GB"/>
              </w:rPr>
              <w:t> </w:t>
            </w:r>
            <w:r w:rsidR="00AC2A7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 w:eastAsia="en-GB"/>
              </w:rPr>
              <w:t>Opis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 w:eastAsia="en-GB"/>
              </w:rPr>
              <w:t>2022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 w:eastAsia="en-GB"/>
              </w:rPr>
              <w:t>2023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sq-AL" w:eastAsia="en-GB"/>
              </w:rPr>
              <w:t>2024</w:t>
            </w:r>
          </w:p>
        </w:tc>
      </w:tr>
      <w:tr w:rsidR="0075093C" w:rsidRPr="00450894" w:rsidTr="0075093C">
        <w:trPr>
          <w:trHeight w:val="288"/>
          <w:jc w:val="center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CC5249" w:rsidRDefault="00AC2A7E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Efikasnost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-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-0.47%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-0.47%</w:t>
            </w:r>
          </w:p>
        </w:tc>
      </w:tr>
      <w:tr w:rsidR="0075093C" w:rsidRPr="00450894" w:rsidTr="0075093C">
        <w:trPr>
          <w:trHeight w:val="288"/>
          <w:jc w:val="center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CC5249" w:rsidRDefault="00AC2A7E" w:rsidP="0002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 xml:space="preserve">Kontrolisan </w:t>
            </w:r>
            <w:r w:rsidR="0075093C" w:rsidRPr="00CC5249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 xml:space="preserve">Opex 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3,671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3,688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3,705</w:t>
            </w:r>
          </w:p>
        </w:tc>
      </w:tr>
      <w:tr w:rsidR="0075093C" w:rsidRPr="00450894" w:rsidTr="0075093C">
        <w:trPr>
          <w:trHeight w:val="288"/>
          <w:jc w:val="center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CC5249" w:rsidRDefault="00AC2A7E" w:rsidP="00750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 xml:space="preserve">Ne-kontrolisan Opex 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1,499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1,499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color w:val="000000"/>
                <w:lang w:val="sq-AL" w:eastAsia="en-GB"/>
              </w:rPr>
              <w:t>1,499</w:t>
            </w:r>
          </w:p>
        </w:tc>
      </w:tr>
      <w:tr w:rsidR="0075093C" w:rsidRPr="00450894" w:rsidTr="0075093C">
        <w:trPr>
          <w:trHeight w:val="300"/>
          <w:jc w:val="center"/>
        </w:trPr>
        <w:tc>
          <w:tcPr>
            <w:tcW w:w="21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75093C" w:rsidRPr="00CC5249" w:rsidRDefault="00AC2A7E" w:rsidP="00750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q-A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q-AL" w:eastAsia="en-GB"/>
              </w:rPr>
              <w:t>Ukupno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75093C" w:rsidRPr="007F49D2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q-AL" w:eastAsia="en-GB"/>
              </w:rPr>
            </w:pPr>
            <w:r w:rsidRPr="00B26335">
              <w:rPr>
                <w:rFonts w:ascii="Calibri" w:eastAsia="Times New Roman" w:hAnsi="Calibri" w:cs="Times New Roman"/>
                <w:b/>
                <w:bCs/>
                <w:color w:val="000000"/>
                <w:lang w:val="sq-AL" w:eastAsia="en-GB"/>
              </w:rPr>
              <w:t>5,169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q-AL" w:eastAsia="en-GB"/>
              </w:rPr>
            </w:pPr>
            <w:r w:rsidRPr="00B1408C">
              <w:rPr>
                <w:rFonts w:ascii="Calibri" w:eastAsia="Times New Roman" w:hAnsi="Calibri" w:cs="Times New Roman"/>
                <w:b/>
                <w:bCs/>
                <w:color w:val="000000"/>
                <w:lang w:val="sq-AL" w:eastAsia="en-GB"/>
              </w:rPr>
              <w:t>5,187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q-AL" w:eastAsia="en-GB"/>
              </w:rPr>
            </w:pPr>
            <w:r w:rsidRPr="00450894">
              <w:rPr>
                <w:rFonts w:ascii="Calibri" w:eastAsia="Times New Roman" w:hAnsi="Calibri" w:cs="Times New Roman"/>
                <w:b/>
                <w:bCs/>
                <w:color w:val="000000"/>
                <w:lang w:val="sq-AL" w:eastAsia="en-GB"/>
              </w:rPr>
              <w:t>5,204</w:t>
            </w:r>
          </w:p>
        </w:tc>
      </w:tr>
    </w:tbl>
    <w:p w:rsidR="0075093C" w:rsidRDefault="0075093C" w:rsidP="0075093C">
      <w:pPr>
        <w:rPr>
          <w:lang w:val="sq-AL"/>
        </w:rPr>
      </w:pPr>
    </w:p>
    <w:p w:rsidR="00AC2A7E" w:rsidRDefault="00AC2A7E" w:rsidP="0075093C">
      <w:pPr>
        <w:rPr>
          <w:lang w:val="sq-AL"/>
        </w:rPr>
      </w:pPr>
    </w:p>
    <w:p w:rsidR="00AC2A7E" w:rsidRDefault="00AC2A7E" w:rsidP="0075093C">
      <w:pPr>
        <w:rPr>
          <w:lang w:val="sq-AL"/>
        </w:rPr>
      </w:pPr>
    </w:p>
    <w:p w:rsidR="00AC2A7E" w:rsidRDefault="00AC2A7E" w:rsidP="0075093C">
      <w:pPr>
        <w:rPr>
          <w:lang w:val="sq-AL"/>
        </w:rPr>
      </w:pPr>
    </w:p>
    <w:p w:rsidR="00AC2A7E" w:rsidRDefault="00AC2A7E" w:rsidP="0075093C">
      <w:pPr>
        <w:rPr>
          <w:lang w:val="sq-AL"/>
        </w:rPr>
      </w:pPr>
    </w:p>
    <w:p w:rsidR="00820A8B" w:rsidRDefault="00AC2A7E" w:rsidP="0075093C">
      <w:pPr>
        <w:rPr>
          <w:lang w:val="sq-AL"/>
        </w:rPr>
      </w:pPr>
      <w:r>
        <w:rPr>
          <w:lang w:val="sq-AL"/>
        </w:rPr>
        <w:t>Izra</w:t>
      </w:r>
      <w:r>
        <w:rPr>
          <w:rFonts w:cstheme="minorHAnsi"/>
          <w:lang w:val="sq-AL"/>
        </w:rPr>
        <w:t>č</w:t>
      </w:r>
      <w:r>
        <w:rPr>
          <w:lang w:val="sq-AL"/>
        </w:rPr>
        <w:t xml:space="preserve">unavanje </w:t>
      </w:r>
      <w:r w:rsidRPr="00AC2A7E">
        <w:rPr>
          <w:lang w:val="sq-AL"/>
        </w:rPr>
        <w:t>faktora efikasnosti je prikazan u</w:t>
      </w:r>
      <w:r>
        <w:rPr>
          <w:lang w:val="sq-AL"/>
        </w:rPr>
        <w:t xml:space="preserve"> donjoj</w:t>
      </w:r>
      <w:r w:rsidRPr="00AC2A7E">
        <w:rPr>
          <w:lang w:val="sq-AL"/>
        </w:rPr>
        <w:t xml:space="preserve"> tabeli</w:t>
      </w:r>
      <w:r w:rsidR="0075093C" w:rsidRPr="00B26335">
        <w:rPr>
          <w:lang w:val="sq-AL"/>
        </w:rPr>
        <w:t>:</w:t>
      </w:r>
    </w:p>
    <w:p w:rsidR="0075093C" w:rsidRPr="00A905B3" w:rsidRDefault="0075093C" w:rsidP="0075093C">
      <w:pPr>
        <w:pStyle w:val="Caption"/>
        <w:rPr>
          <w:lang w:val="sq-AL"/>
        </w:rPr>
      </w:pPr>
      <w:r w:rsidRPr="00A905B3">
        <w:rPr>
          <w:lang w:val="sq-AL"/>
        </w:rPr>
        <w:t xml:space="preserve">Tabela  </w:t>
      </w:r>
      <w:r w:rsidRPr="00A905B3">
        <w:rPr>
          <w:lang w:val="sq-AL"/>
        </w:rPr>
        <w:fldChar w:fldCharType="begin"/>
      </w:r>
      <w:r w:rsidRPr="00A905B3">
        <w:rPr>
          <w:lang w:val="sq-AL"/>
        </w:rPr>
        <w:instrText xml:space="preserve"> SEQ Tabela_ \* ARABIC </w:instrText>
      </w:r>
      <w:r w:rsidRPr="00A905B3">
        <w:rPr>
          <w:lang w:val="sq-AL"/>
        </w:rPr>
        <w:fldChar w:fldCharType="separate"/>
      </w:r>
      <w:r w:rsidR="00AC532D">
        <w:rPr>
          <w:noProof/>
          <w:lang w:val="sq-AL"/>
        </w:rPr>
        <w:t>12</w:t>
      </w:r>
      <w:r w:rsidRPr="00A905B3">
        <w:rPr>
          <w:lang w:val="sq-AL"/>
        </w:rPr>
        <w:fldChar w:fldCharType="end"/>
      </w:r>
      <w:r w:rsidR="00AC2A7E">
        <w:rPr>
          <w:lang w:val="sq-AL"/>
        </w:rPr>
        <w:t xml:space="preserve"> Faktor efikasnosti</w:t>
      </w: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315"/>
        <w:gridCol w:w="739"/>
        <w:gridCol w:w="993"/>
        <w:gridCol w:w="779"/>
        <w:gridCol w:w="1011"/>
        <w:gridCol w:w="1080"/>
        <w:gridCol w:w="622"/>
        <w:gridCol w:w="731"/>
      </w:tblGrid>
      <w:tr w:rsidR="0075093C" w:rsidRPr="00450894" w:rsidTr="0075093C">
        <w:trPr>
          <w:trHeight w:val="564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3864" w:themeFill="accent5" w:themeFillShade="80"/>
            <w:noWrap/>
            <w:vAlign w:val="center"/>
            <w:hideMark/>
          </w:tcPr>
          <w:p w:rsidR="0075093C" w:rsidRPr="00B26335" w:rsidRDefault="00AC2A7E" w:rsidP="0075093C">
            <w:pPr>
              <w:spacing w:after="0" w:line="240" w:lineRule="auto"/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</w:pPr>
            <w:r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  <w:t>Opis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3864" w:themeFill="accent5" w:themeFillShade="80"/>
            <w:noWrap/>
            <w:vAlign w:val="center"/>
            <w:hideMark/>
          </w:tcPr>
          <w:p w:rsidR="0075093C" w:rsidRPr="00B1408C" w:rsidRDefault="00AC2A7E" w:rsidP="007509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</w:pPr>
            <w:r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  <w:t>Trend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3864" w:themeFill="accent5" w:themeFillShade="80"/>
            <w:noWrap/>
            <w:vAlign w:val="center"/>
            <w:hideMark/>
          </w:tcPr>
          <w:p w:rsidR="0075093C" w:rsidRPr="00450894" w:rsidRDefault="00AC2A7E" w:rsidP="007509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</w:pPr>
            <w:r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  <w:t>Prose</w:t>
            </w:r>
            <w:r w:rsidR="00D62BB0">
              <w:rPr>
                <w:rFonts w:eastAsia="Times New Roman" w:cstheme="minorHAnsi"/>
                <w:bCs/>
                <w:color w:val="FFFFFF" w:themeColor="background1"/>
                <w:sz w:val="20"/>
                <w:szCs w:val="20"/>
                <w:lang w:val="sq-AL" w:eastAsia="en-GB"/>
              </w:rPr>
              <w:t>k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3864" w:themeFill="accent5" w:themeFillShade="80"/>
            <w:noWrap/>
            <w:vAlign w:val="center"/>
            <w:hideMark/>
          </w:tcPr>
          <w:p w:rsidR="0075093C" w:rsidRPr="00450894" w:rsidRDefault="00AC2A7E" w:rsidP="007509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</w:pPr>
            <w:r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  <w:t>Razlika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3864" w:themeFill="accent5" w:themeFillShade="80"/>
            <w:noWrap/>
            <w:vAlign w:val="center"/>
            <w:hideMark/>
          </w:tcPr>
          <w:p w:rsidR="0075093C" w:rsidRPr="00450894" w:rsidRDefault="00AC2A7E" w:rsidP="007509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</w:pPr>
            <w:r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  <w:t>Efikasnost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3864" w:themeFill="accent5" w:themeFillShade="80"/>
            <w:vAlign w:val="center"/>
            <w:hideMark/>
          </w:tcPr>
          <w:p w:rsidR="0075093C" w:rsidRPr="00450894" w:rsidRDefault="00AC2A7E" w:rsidP="007509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</w:pPr>
            <w:r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  <w:t>Faktor efikasnosti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F3864" w:themeFill="accent5" w:themeFillShade="80"/>
            <w:noWrap/>
            <w:vAlign w:val="center"/>
            <w:hideMark/>
          </w:tcPr>
          <w:p w:rsidR="0075093C" w:rsidRPr="00450894" w:rsidRDefault="00AC2A7E" w:rsidP="007509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</w:pPr>
            <w:r w:rsidRPr="00AC2A7E"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val="sq-AL" w:eastAsia="en-GB"/>
              </w:rPr>
              <w:t>Ekstrapolacija</w:t>
            </w:r>
          </w:p>
        </w:tc>
      </w:tr>
      <w:tr w:rsidR="0075093C" w:rsidRPr="00450894" w:rsidTr="0075093C">
        <w:trPr>
          <w:trHeight w:val="28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AC2A7E" w:rsidP="007509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AC2A7E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Troškovi osoblja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1,945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1,877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68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3,740</w:t>
            </w:r>
          </w:p>
        </w:tc>
      </w:tr>
      <w:tr w:rsidR="0075093C" w:rsidRPr="00450894" w:rsidTr="0075093C">
        <w:trPr>
          <w:trHeight w:val="288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AC2A7E" w:rsidP="007509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AC2A7E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Održavanje, Inventar i Zalihe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81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(12)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2017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3,723</w:t>
            </w:r>
          </w:p>
        </w:tc>
      </w:tr>
      <w:tr w:rsidR="0075093C" w:rsidRPr="00450894" w:rsidTr="0075093C">
        <w:trPr>
          <w:trHeight w:val="288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AC2A7E" w:rsidP="007509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Obezbednost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340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(58)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2018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3,705</w:t>
            </w:r>
          </w:p>
        </w:tc>
      </w:tr>
      <w:tr w:rsidR="0075093C" w:rsidRPr="00450894" w:rsidTr="0075093C">
        <w:trPr>
          <w:trHeight w:val="288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AC2A7E" w:rsidP="007509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8A3C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Ostali operativni troškovi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1,191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951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240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2019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3,688</w:t>
            </w:r>
          </w:p>
        </w:tc>
      </w:tr>
      <w:tr w:rsidR="0075093C" w:rsidRPr="00450894" w:rsidTr="0075093C">
        <w:trPr>
          <w:trHeight w:val="288"/>
        </w:trPr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AC2A7E" w:rsidP="007509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8A3C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 w:eastAsia="en-GB"/>
              </w:rPr>
              <w:t>Finansijski troškovi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422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147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-0.47%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color w:val="000000"/>
                <w:sz w:val="20"/>
                <w:szCs w:val="20"/>
                <w:lang w:val="sq-AL" w:eastAsia="en-GB"/>
              </w:rPr>
              <w:t>3,671</w:t>
            </w:r>
          </w:p>
        </w:tc>
      </w:tr>
      <w:tr w:rsidR="0075093C" w:rsidRPr="00450894" w:rsidTr="0075093C">
        <w:trPr>
          <w:trHeight w:val="288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CC5249" w:rsidRDefault="00AC2A7E" w:rsidP="007509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Ukupno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26335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B263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4,054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B1408C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B140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3,671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191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-0.47%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93C" w:rsidRPr="00450894" w:rsidRDefault="0075093C" w:rsidP="007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4508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3,671</w:t>
            </w:r>
          </w:p>
        </w:tc>
      </w:tr>
    </w:tbl>
    <w:p w:rsidR="0075093C" w:rsidRPr="00CC5249" w:rsidRDefault="0075093C" w:rsidP="0075093C">
      <w:pPr>
        <w:rPr>
          <w:lang w:val="sq-AL"/>
        </w:rPr>
      </w:pPr>
    </w:p>
    <w:p w:rsidR="0075093C" w:rsidRPr="003C06AF" w:rsidRDefault="00AC2A7E" w:rsidP="0075093C">
      <w:pPr>
        <w:rPr>
          <w:lang w:val="sq-AL"/>
        </w:rPr>
      </w:pPr>
      <w:r>
        <w:rPr>
          <w:lang w:val="sq-AL"/>
        </w:rPr>
        <w:t>Faktor efikasnosti</w:t>
      </w:r>
      <w:r w:rsidR="0075093C" w:rsidRPr="00B26335">
        <w:rPr>
          <w:lang w:val="sq-AL"/>
        </w:rPr>
        <w:t xml:space="preserve"> = [</w:t>
      </w:r>
      <w:r w:rsidR="0075093C" w:rsidRPr="007F49D2">
        <w:rPr>
          <w:lang w:val="sq-AL"/>
        </w:rPr>
        <w:t>(3671)/(3671+70)]^(1/4</w:t>
      </w:r>
      <w:r w:rsidR="0075093C" w:rsidRPr="00540B57">
        <w:rPr>
          <w:lang w:val="sq-AL"/>
        </w:rPr>
        <w:t>)-1</w:t>
      </w:r>
      <w:r w:rsidR="0075093C" w:rsidRPr="003C06AF">
        <w:rPr>
          <w:lang w:val="sq-AL"/>
        </w:rPr>
        <w:t xml:space="preserve"> = -0.5%</w:t>
      </w:r>
    </w:p>
    <w:p w:rsidR="0075093C" w:rsidRPr="00450894" w:rsidRDefault="00AC2A7E" w:rsidP="00A905B3">
      <w:pPr>
        <w:jc w:val="both"/>
        <w:rPr>
          <w:lang w:val="sq-AL"/>
        </w:rPr>
      </w:pPr>
      <w:r>
        <w:rPr>
          <w:lang w:val="sq-AL"/>
        </w:rPr>
        <w:t>RUE navodi</w:t>
      </w:r>
      <w:r w:rsidRPr="00AC2A7E">
        <w:rPr>
          <w:lang w:val="sq-AL"/>
        </w:rPr>
        <w:t xml:space="preserve"> d</w:t>
      </w:r>
      <w:r>
        <w:rPr>
          <w:lang w:val="sq-AL"/>
        </w:rPr>
        <w:t>a uticaj povećanja broja potro</w:t>
      </w:r>
      <w:r>
        <w:rPr>
          <w:rFonts w:cstheme="minorHAnsi"/>
          <w:lang w:val="sq-AL"/>
        </w:rPr>
        <w:t>š</w:t>
      </w:r>
      <w:r>
        <w:rPr>
          <w:lang w:val="sq-AL"/>
        </w:rPr>
        <w:t>a</w:t>
      </w:r>
      <w:r>
        <w:rPr>
          <w:rFonts w:cstheme="minorHAnsi"/>
          <w:lang w:val="sq-AL"/>
        </w:rPr>
        <w:t>ć</w:t>
      </w:r>
      <w:r>
        <w:rPr>
          <w:lang w:val="sq-AL"/>
        </w:rPr>
        <w:t>a</w:t>
      </w:r>
      <w:r w:rsidRPr="00AC2A7E">
        <w:rPr>
          <w:lang w:val="sq-AL"/>
        </w:rPr>
        <w:t xml:space="preserve"> na operativne troškove nije značajan, pa se broj potrošača ne smatra zaslužnim pokretačem povećanja operativnih troškova. To znači da je većina op</w:t>
      </w:r>
      <w:r>
        <w:rPr>
          <w:lang w:val="sq-AL"/>
        </w:rPr>
        <w:t>erativnih troškova SUU-a</w:t>
      </w:r>
      <w:r w:rsidRPr="00AC2A7E">
        <w:rPr>
          <w:lang w:val="sq-AL"/>
        </w:rPr>
        <w:t xml:space="preserve"> fiksna, štaviše </w:t>
      </w:r>
      <w:r>
        <w:rPr>
          <w:lang w:val="sq-AL"/>
        </w:rPr>
        <w:t>iz analize podataka koje je SUU predstavio</w:t>
      </w:r>
      <w:r w:rsidRPr="00AC2A7E">
        <w:rPr>
          <w:lang w:val="sq-AL"/>
        </w:rPr>
        <w:t xml:space="preserve"> vidi se da postoji inver</w:t>
      </w:r>
      <w:r>
        <w:rPr>
          <w:lang w:val="sq-AL"/>
        </w:rPr>
        <w:t>zna veza između ostvarenih OPEX-a i broja potro</w:t>
      </w:r>
      <w:r>
        <w:rPr>
          <w:rFonts w:cstheme="minorHAnsi"/>
          <w:lang w:val="sq-AL"/>
        </w:rPr>
        <w:t>š</w:t>
      </w:r>
      <w:r>
        <w:rPr>
          <w:lang w:val="sq-AL"/>
        </w:rPr>
        <w:t>a</w:t>
      </w:r>
      <w:r>
        <w:rPr>
          <w:rFonts w:cstheme="minorHAnsi"/>
          <w:lang w:val="sq-AL"/>
        </w:rPr>
        <w:t>ć</w:t>
      </w:r>
      <w:r>
        <w:rPr>
          <w:lang w:val="sq-AL"/>
        </w:rPr>
        <w:t>a, što znači da je SUU bio u mogućnosti da pruži usluge za trend rasta potro</w:t>
      </w:r>
      <w:r>
        <w:rPr>
          <w:rFonts w:cstheme="minorHAnsi"/>
          <w:lang w:val="sq-AL"/>
        </w:rPr>
        <w:t>š</w:t>
      </w:r>
      <w:r>
        <w:rPr>
          <w:lang w:val="sq-AL"/>
        </w:rPr>
        <w:t>a</w:t>
      </w:r>
      <w:r>
        <w:rPr>
          <w:rFonts w:cstheme="minorHAnsi"/>
          <w:lang w:val="sq-AL"/>
        </w:rPr>
        <w:t>ć</w:t>
      </w:r>
      <w:r>
        <w:rPr>
          <w:lang w:val="sq-AL"/>
        </w:rPr>
        <w:t>a</w:t>
      </w:r>
      <w:r w:rsidRPr="00AC2A7E">
        <w:rPr>
          <w:lang w:val="sq-AL"/>
        </w:rPr>
        <w:t xml:space="preserve">, a da budu efikasni. Pored toga, usluge očitavanja i naplate su aktivnosti ODS-a, a automatizacija procesa plaćanja znači smanjenje operativnih troškova. Na </w:t>
      </w:r>
      <w:r w:rsidR="005E0778">
        <w:rPr>
          <w:lang w:val="sq-AL"/>
        </w:rPr>
        <w:t xml:space="preserve">donjoj slici </w:t>
      </w:r>
      <w:r w:rsidRPr="00AC2A7E">
        <w:rPr>
          <w:lang w:val="sq-AL"/>
        </w:rPr>
        <w:t>prikazan je faktor efikasnosti.</w:t>
      </w:r>
      <w:r>
        <w:rPr>
          <w:lang w:val="sq-AL"/>
        </w:rPr>
        <w:t xml:space="preserve"> </w:t>
      </w:r>
    </w:p>
    <w:p w:rsidR="009E6373" w:rsidRDefault="009E6373" w:rsidP="0075093C">
      <w:pPr>
        <w:pStyle w:val="Caption"/>
        <w:jc w:val="left"/>
        <w:rPr>
          <w:rFonts w:asciiTheme="minorHAnsi" w:eastAsiaTheme="minorHAnsi" w:hAnsiTheme="minorHAnsi" w:cstheme="minorBidi"/>
          <w:b w:val="0"/>
          <w:bCs w:val="0"/>
          <w:i w:val="0"/>
          <w:color w:val="auto"/>
          <w:szCs w:val="22"/>
          <w:lang w:val="sq-AL"/>
        </w:rPr>
      </w:pPr>
    </w:p>
    <w:p w:rsidR="0075093C" w:rsidRPr="00CC5249" w:rsidRDefault="005E0778" w:rsidP="0075093C">
      <w:pPr>
        <w:pStyle w:val="Caption"/>
        <w:jc w:val="left"/>
        <w:rPr>
          <w:lang w:val="sq-AL"/>
        </w:rPr>
      </w:pPr>
      <w:bookmarkStart w:id="15" w:name="_GoBack"/>
      <w:bookmarkEnd w:id="15"/>
      <w:r>
        <w:rPr>
          <w:lang w:val="sq-AL"/>
        </w:rPr>
        <w:t>Slika</w:t>
      </w:r>
      <w:r w:rsidR="0075093C" w:rsidRPr="00724407">
        <w:rPr>
          <w:lang w:val="sq-AL"/>
        </w:rPr>
        <w:t xml:space="preserve"> </w:t>
      </w:r>
      <w:r w:rsidR="0075093C">
        <w:rPr>
          <w:lang w:val="sq-AL"/>
        </w:rPr>
        <w:t>2</w:t>
      </w:r>
      <w:r w:rsidR="0075093C" w:rsidRPr="00CC5249">
        <w:rPr>
          <w:lang w:val="sq-AL"/>
        </w:rPr>
        <w:t xml:space="preserve"> </w:t>
      </w:r>
      <w:r>
        <w:rPr>
          <w:lang w:val="sq-AL"/>
        </w:rPr>
        <w:t>Faktor efikasnosti</w:t>
      </w:r>
    </w:p>
    <w:p w:rsidR="0075093C" w:rsidRPr="00CC5249" w:rsidRDefault="0075093C" w:rsidP="0075093C">
      <w:pPr>
        <w:rPr>
          <w:lang w:val="sq-AL"/>
        </w:rPr>
      </w:pPr>
      <w:r w:rsidRPr="00450894">
        <w:rPr>
          <w:noProof/>
        </w:rPr>
        <mc:AlternateContent>
          <mc:Choice Requires="wpg">
            <w:drawing>
              <wp:inline distT="0" distB="0" distL="0" distR="0" wp14:anchorId="6110E29A" wp14:editId="5FD22B39">
                <wp:extent cx="4662171" cy="2698114"/>
                <wp:effectExtent l="0" t="0" r="5080" b="7620"/>
                <wp:docPr id="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171" cy="2698114"/>
                          <a:chOff x="23857" y="0"/>
                          <a:chExt cx="4662694" cy="2698475"/>
                        </a:xfrm>
                      </wpg:grpSpPr>
                      <wpg:graphicFrame>
                        <wpg:cNvPr id="15" name="Chart 15"/>
                        <wpg:cNvFrPr/>
                        <wpg:xfrm>
                          <a:off x="23857" y="0"/>
                          <a:ext cx="4662694" cy="26984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  <wpg:grpSp>
                        <wpg:cNvPr id="16" name="Group 16"/>
                        <wpg:cNvGrpSpPr/>
                        <wpg:grpSpPr>
                          <a:xfrm>
                            <a:off x="1418463" y="461238"/>
                            <a:ext cx="2087127" cy="853054"/>
                            <a:chOff x="1332494" y="466941"/>
                            <a:chExt cx="2087127" cy="545827"/>
                          </a:xfrm>
                        </wpg:grpSpPr>
                        <wps:wsp>
                          <wps:cNvPr id="17" name="Straight Arrow Connector 17"/>
                          <wps:cNvCnPr/>
                          <wps:spPr>
                            <a:xfrm>
                              <a:off x="3419621" y="601048"/>
                              <a:ext cx="0" cy="28828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332494" y="587167"/>
                              <a:ext cx="2083679" cy="1398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H="1">
                              <a:off x="1334713" y="585732"/>
                              <a:ext cx="1297" cy="42703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2249561" y="466941"/>
                              <a:ext cx="593052" cy="223613"/>
                            </a:xfrm>
                            <a:prstGeom prst="ellipse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62EC" w:rsidRDefault="007E62EC" w:rsidP="0075093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sz w:val="18"/>
                                    <w:szCs w:val="18"/>
                                    <w:lang w:val="en-US"/>
                                  </w:rPr>
                                  <w:t>0.5%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10E29A" id="Group 1" o:spid="_x0000_s1026" style="width:367.1pt;height:212.45pt;mso-position-horizontal-relative:char;mso-position-vertical-relative:line" coordorigin="238" coordsize="46626,26984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5" o:spid="_x0000_s1027" type="#_x0000_t75" style="position:absolute;left:177;top:-60;width:46762;height:270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33Ki&#10;VcEAAADbAAAADwAAAGRycy9kb3ducmV2LnhtbERPS4vCMBC+C/6HMMJeRFOFFa1G0cUFFw/i4+Jt&#10;aMa22ExKk7Xx328WBG/z8T1nsQqmEg9qXGlZwWiYgCDOrC45V3A5fw+mIJxH1lhZJgVPcrBadjsL&#10;TLVt+UiPk89FDGGXooLC+zqV0mUFGXRDWxNH7mYbgz7CJpe6wTaGm0qOk2QiDZYcGwqs6aug7H76&#10;NQpuYba+bnESZtVmf5A/fO23/Vqpj15Yz0F4Cv4tfrl3Os7/hP9f4gFy+Qc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fcqJVwQAAANsAAAAPAAAAAAAAAAAAAAAAAJsCAABkcnMvZG93&#10;bnJldi54bWxQSwUGAAAAAAQABADzAAAAiQMAAAAA&#10;">
                  <v:imagedata r:id="rId14" o:title=""/>
                  <o:lock v:ext="edit" aspectratio="f"/>
                </v:shape>
                <v:group id="Group 16" o:spid="_x0000_s1028" style="position:absolute;left:14184;top:4612;width:20871;height:8530" coordorigin="13324,4669" coordsize="20871,5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29" type="#_x0000_t32" style="position:absolute;left:34196;top:6010;width:0;height:28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ZEX8MAAADbAAAADwAAAGRycy9kb3ducmV2LnhtbESPQWvCQBCF74X+h2UKXkQ3irU2dZVS&#10;EHtttOJxyE6zwexsyE41/nu3UPA2w3vzvjfLde8bdaYu1oENTMYZKOIy2JorA/vdZrQAFQXZYhOY&#10;DFwpwnr1+LDE3IYLf9G5kEqlEI45GnAiba51LB15jOPQEiftJ3QeJa1dpW2HlxTuGz3Nsrn2WHMi&#10;OGzpw1F5Kn594tJ+Oiyeh6+z0xa/jwcn19lEjBk89e9voIR6uZv/rz9tqv8Cf7+kAf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WRF/DAAAA2wAAAA8AAAAAAAAAAAAA&#10;AAAAoQIAAGRycy9kb3ducmV2LnhtbFBLBQYAAAAABAAEAPkAAACRAwAAAAA=&#10;" strokecolor="#5b9bd5 [3204]" strokeweight=".5pt">
                    <v:stroke endarrow="block" joinstyle="miter"/>
                  </v:shape>
                  <v:line id="Straight Connector 18" o:spid="_x0000_s1030" style="position:absolute;visibility:visible;mso-wrap-style:square" from="13324,5871" to="34161,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MM8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rP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4wzxAAAANsAAAAPAAAAAAAAAAAA&#10;AAAAAKECAABkcnMvZG93bnJldi54bWxQSwUGAAAAAAQABAD5AAAAkgMAAAAA&#10;" strokecolor="#5b9bd5 [3204]" strokeweight=".5pt">
                    <v:stroke joinstyle="miter"/>
                  </v:line>
                  <v:line id="Straight Connector 19" o:spid="_x0000_s1031" style="position:absolute;flip:x;visibility:visible;mso-wrap-style:square" from="13347,5857" to="13360,1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W1r8EAAADbAAAADwAAAGRycy9kb3ducmV2LnhtbERPTYvCMBC9C/sfwix403QFRatpkUVB&#10;EBfU9bC3sRnbajMpTdT6782C4G0e73NmaWsqcaPGlZYVfPUjEMSZ1SXnCn73y94YhPPIGivLpOBB&#10;DtLkozPDWNs7b+m287kIIexiVFB4X8dSuqwgg65va+LAnWxj0AfY5FI3eA/hppKDKBpJgyWHhgJr&#10;+i4ou+yuRsFSb448nrifv4MtR+vVuT4shkOlup/tfArCU+vf4pd7pcP8Cfz/Eg6Qy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tbWvwQAAANsAAAAPAAAAAAAAAAAAAAAA&#10;AKECAABkcnMvZG93bnJldi54bWxQSwUGAAAAAAQABAD5AAAAjwMAAAAA&#10;" strokecolor="#5b9bd5 [3204]" strokeweight=".5pt">
                    <v:stroke joinstyle="miter"/>
                  </v:line>
                  <v:oval id="Oval 20" o:spid="_x0000_s1032" style="position:absolute;left:22495;top:4669;width:5931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ZwsAA&#10;AADbAAAADwAAAGRycy9kb3ducmV2LnhtbERPu07DMBTdkfoP1kXqRhw6oBLiVn0IUQUW0na/jW+T&#10;qPF1ZJsk/Xs8IDEenXe+nkwnBnK+tazgOUlBEFdWt1wrOB3fn5YgfEDW2FkmBXfysF7NHnLMtB35&#10;m4Yy1CKGsM9QQRNCn0npq4YM+sT2xJG7WmcwROhqqR2OMdx0cpGmL9Jgy7GhwZ52DVW38scoKF6R&#10;Pva7YjofaSy/Tuy25vOi1Pxx2ryBCDSFf/Gf+6AVLOL6+CX+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cZwsAAAADbAAAADwAAAAAAAAAAAAAAAACYAgAAZHJzL2Rvd25y&#10;ZXYueG1sUEsFBgAAAAAEAAQA9QAAAIUDAAAAAA==&#10;" fillcolor="white [3201]" strokecolor="black [3200]" strokeweight=".25pt">
                    <v:stroke joinstyle="miter"/>
                    <v:textbox>
                      <w:txbxContent>
                        <w:p w:rsidR="007E62EC" w:rsidRDefault="007E62EC" w:rsidP="0075093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sz w:val="18"/>
                              <w:szCs w:val="18"/>
                              <w:lang w:val="en-US"/>
                            </w:rPr>
                            <w:t>0.5%</w:t>
                          </w:r>
                        </w:p>
                      </w:txbxContent>
                    </v:textbox>
                  </v:oval>
                </v:group>
                <w10:anchorlock/>
              </v:group>
            </w:pict>
          </mc:Fallback>
        </mc:AlternateContent>
      </w:r>
    </w:p>
    <w:p w:rsidR="0075093C" w:rsidRPr="00450894" w:rsidRDefault="005E0778" w:rsidP="005F0EEB">
      <w:pPr>
        <w:jc w:val="both"/>
        <w:rPr>
          <w:lang w:val="sq-AL"/>
        </w:rPr>
      </w:pPr>
      <w:r w:rsidRPr="005E0778">
        <w:rPr>
          <w:lang w:val="sq-AL"/>
        </w:rPr>
        <w:t>Konačna odluka RUE</w:t>
      </w:r>
      <w:r>
        <w:rPr>
          <w:lang w:val="sq-AL"/>
        </w:rPr>
        <w:t>-a</w:t>
      </w:r>
      <w:r w:rsidRPr="005E0778">
        <w:rPr>
          <w:lang w:val="sq-AL"/>
        </w:rPr>
        <w:t xml:space="preserve"> o očekivanjima ef</w:t>
      </w:r>
      <w:r>
        <w:rPr>
          <w:lang w:val="sq-AL"/>
        </w:rPr>
        <w:t>ikasnosti regulisanih kompanija</w:t>
      </w:r>
      <w:r w:rsidRPr="005E0778">
        <w:rPr>
          <w:lang w:val="sq-AL"/>
        </w:rPr>
        <w:t xml:space="preserve"> koja posluju na tržištu Kosova preduzeta je tokom poslednjeg </w:t>
      </w:r>
      <w:r>
        <w:rPr>
          <w:lang w:val="sq-AL"/>
        </w:rPr>
        <w:t>periodičnog pregleda Operatora Prenosnog S</w:t>
      </w:r>
      <w:r w:rsidRPr="005E0778">
        <w:rPr>
          <w:lang w:val="sq-AL"/>
        </w:rPr>
        <w:t xml:space="preserve">istema i Operatora </w:t>
      </w:r>
      <w:r>
        <w:rPr>
          <w:lang w:val="sq-AL"/>
        </w:rPr>
        <w:t>Distributivnog S</w:t>
      </w:r>
      <w:r w:rsidRPr="005E0778">
        <w:rPr>
          <w:lang w:val="sq-AL"/>
        </w:rPr>
        <w:t>istema</w:t>
      </w:r>
      <w:r>
        <w:rPr>
          <w:lang w:val="sq-AL"/>
        </w:rPr>
        <w:t>. Faktor efikasnosti uspostavljen</w:t>
      </w:r>
      <w:r w:rsidRPr="005E0778">
        <w:rPr>
          <w:lang w:val="sq-AL"/>
        </w:rPr>
        <w:t xml:space="preserve"> tokom ove definicije primenljiv na operativne troškove i troškove održavanja bio je 1,5%. </w:t>
      </w:r>
      <w:r w:rsidR="001226BA">
        <w:rPr>
          <w:lang w:val="sq-AL"/>
        </w:rPr>
        <w:t xml:space="preserve"> </w:t>
      </w:r>
      <w:r w:rsidRPr="005E0778">
        <w:rPr>
          <w:lang w:val="sq-AL"/>
        </w:rPr>
        <w:t>Nema oči</w:t>
      </w:r>
      <w:r w:rsidR="001226BA">
        <w:rPr>
          <w:lang w:val="sq-AL"/>
        </w:rPr>
        <w:t xml:space="preserve">glednih dokaza koji bi pokazali </w:t>
      </w:r>
      <w:r w:rsidRPr="005E0778">
        <w:rPr>
          <w:lang w:val="sq-AL"/>
        </w:rPr>
        <w:t xml:space="preserve"> da</w:t>
      </w:r>
      <w:r>
        <w:rPr>
          <w:lang w:val="sq-AL"/>
        </w:rPr>
        <w:t xml:space="preserve"> je poboljšanje u</w:t>
      </w:r>
      <w:r>
        <w:rPr>
          <w:rFonts w:cstheme="minorHAnsi"/>
          <w:lang w:val="sq-AL"/>
        </w:rPr>
        <w:t>č</w:t>
      </w:r>
      <w:r>
        <w:rPr>
          <w:lang w:val="sq-AL"/>
        </w:rPr>
        <w:t>inka SUU-a isto kao kod ODS-a i OPS-a/OT</w:t>
      </w:r>
      <w:r w:rsidRPr="005E0778">
        <w:rPr>
          <w:lang w:val="sq-AL"/>
        </w:rPr>
        <w:t>. Na os</w:t>
      </w:r>
      <w:r>
        <w:rPr>
          <w:lang w:val="sq-AL"/>
        </w:rPr>
        <w:t>novu postignute efikasnosti SUU</w:t>
      </w:r>
      <w:r w:rsidRPr="005E0778">
        <w:rPr>
          <w:lang w:val="sq-AL"/>
        </w:rPr>
        <w:t xml:space="preserve"> prema istorijskim podacima, RUE predlaže da se faktor efi</w:t>
      </w:r>
      <w:r>
        <w:rPr>
          <w:lang w:val="sq-AL"/>
        </w:rPr>
        <w:t>kasnosti od 0,5% primeni na SUU</w:t>
      </w:r>
      <w:r w:rsidRPr="005E0778">
        <w:rPr>
          <w:lang w:val="sq-AL"/>
        </w:rPr>
        <w:t xml:space="preserve"> za godine 2023-2024. Faktor</w:t>
      </w:r>
      <w:r>
        <w:rPr>
          <w:lang w:val="sq-AL"/>
        </w:rPr>
        <w:t xml:space="preserve"> efikasnosti će se primeniti samo na kontrolisani Opex.</w:t>
      </w:r>
    </w:p>
    <w:p w:rsidR="0075093C" w:rsidRPr="00450894" w:rsidRDefault="00F50D3C" w:rsidP="00F50D3C">
      <w:pPr>
        <w:pStyle w:val="Heading2"/>
      </w:pPr>
      <w:r w:rsidRPr="00F50D3C">
        <w:rPr>
          <w:lang w:val="sq-AL"/>
        </w:rPr>
        <w:t>Kate</w:t>
      </w:r>
      <w:r w:rsidR="00E33A41">
        <w:rPr>
          <w:lang w:val="sq-AL"/>
        </w:rPr>
        <w:t>gorizacija i dugovečnost sredstava</w:t>
      </w:r>
    </w:p>
    <w:p w:rsidR="0075093C" w:rsidRPr="00450894" w:rsidRDefault="00F50D3C" w:rsidP="005F0EEB">
      <w:pPr>
        <w:jc w:val="both"/>
        <w:rPr>
          <w:lang w:val="sq-AL"/>
        </w:rPr>
      </w:pPr>
      <w:r>
        <w:rPr>
          <w:lang w:val="sq-AL"/>
        </w:rPr>
        <w:t>U skladu sa Pravilom o Cenama</w:t>
      </w:r>
      <w:r w:rsidR="00A13800">
        <w:rPr>
          <w:lang w:val="sq-AL"/>
        </w:rPr>
        <w:t>, RAB amortizacija se izračunuje</w:t>
      </w:r>
      <w:r>
        <w:rPr>
          <w:lang w:val="sq-AL"/>
        </w:rPr>
        <w:t xml:space="preserve"> na linearnoj osnovi, koristeći Ekonomsko Dugove</w:t>
      </w:r>
      <w:r>
        <w:rPr>
          <w:rFonts w:cstheme="minorHAnsi"/>
          <w:lang w:val="sq-AL"/>
        </w:rPr>
        <w:t>č</w:t>
      </w:r>
      <w:r>
        <w:rPr>
          <w:lang w:val="sq-AL"/>
        </w:rPr>
        <w:t>nost Sredstva</w:t>
      </w:r>
      <w:r w:rsidRPr="00F50D3C">
        <w:rPr>
          <w:lang w:val="sq-AL"/>
        </w:rPr>
        <w:t>, definisan za različite klase sr</w:t>
      </w:r>
      <w:r>
        <w:rPr>
          <w:lang w:val="sq-AL"/>
        </w:rPr>
        <w:t>edstava. Smatra se da ekonomska dugove</w:t>
      </w:r>
      <w:r>
        <w:rPr>
          <w:rFonts w:cstheme="minorHAnsi"/>
          <w:lang w:val="sq-AL"/>
        </w:rPr>
        <w:t>č</w:t>
      </w:r>
      <w:r>
        <w:rPr>
          <w:lang w:val="sq-AL"/>
        </w:rPr>
        <w:t>nost</w:t>
      </w:r>
      <w:r w:rsidRPr="00F50D3C">
        <w:rPr>
          <w:lang w:val="sq-AL"/>
        </w:rPr>
        <w:t xml:space="preserve"> za svaku klasu</w:t>
      </w:r>
      <w:r>
        <w:rPr>
          <w:lang w:val="sq-AL"/>
        </w:rPr>
        <w:t xml:space="preserve"> sredstava predstavlja tehničku dugove</w:t>
      </w:r>
      <w:r>
        <w:rPr>
          <w:rFonts w:cstheme="minorHAnsi"/>
          <w:lang w:val="sq-AL"/>
        </w:rPr>
        <w:t>č</w:t>
      </w:r>
      <w:r>
        <w:rPr>
          <w:lang w:val="sq-AL"/>
        </w:rPr>
        <w:t>nost</w:t>
      </w:r>
      <w:r w:rsidRPr="00F50D3C">
        <w:rPr>
          <w:lang w:val="sq-AL"/>
        </w:rPr>
        <w:t xml:space="preserve"> sredstva (tj. period pre</w:t>
      </w:r>
      <w:r w:rsidR="00A13800">
        <w:rPr>
          <w:lang w:val="sq-AL"/>
        </w:rPr>
        <w:t>d</w:t>
      </w:r>
      <w:r w:rsidRPr="00F50D3C">
        <w:rPr>
          <w:lang w:val="sq-AL"/>
        </w:rPr>
        <w:t xml:space="preserve"> zamene zbog potrošnje je potreban)</w:t>
      </w:r>
      <w:r>
        <w:rPr>
          <w:lang w:val="sq-AL"/>
        </w:rPr>
        <w:t>,</w:t>
      </w:r>
      <w:r w:rsidRPr="00F50D3C">
        <w:rPr>
          <w:lang w:val="sq-AL"/>
        </w:rPr>
        <w:t xml:space="preserve"> osim ako postoji dovoljan razlog da se smatra da je sredstvo postalo višak pre tog datuma. </w:t>
      </w:r>
    </w:p>
    <w:p w:rsidR="0075093C" w:rsidRPr="00450894" w:rsidRDefault="002D2A85" w:rsidP="0075093C">
      <w:pPr>
        <w:pStyle w:val="Heading3"/>
        <w:rPr>
          <w:lang w:val="sq-AL"/>
        </w:rPr>
      </w:pPr>
      <w:bookmarkStart w:id="16" w:name="_Toc88226465"/>
      <w:r>
        <w:rPr>
          <w:lang w:val="sq-AL"/>
        </w:rPr>
        <w:t xml:space="preserve">Aplikacija </w:t>
      </w:r>
      <w:r w:rsidR="0075093C" w:rsidRPr="00450894">
        <w:rPr>
          <w:lang w:val="sq-AL"/>
        </w:rPr>
        <w:t>KESCO</w:t>
      </w:r>
      <w:bookmarkEnd w:id="16"/>
      <w:r>
        <w:rPr>
          <w:lang w:val="sq-AL"/>
        </w:rPr>
        <w:t>-a</w:t>
      </w:r>
    </w:p>
    <w:p w:rsidR="0075093C" w:rsidRDefault="002D2A85" w:rsidP="005F0EEB">
      <w:pPr>
        <w:jc w:val="both"/>
        <w:rPr>
          <w:lang w:val="sq-AL"/>
        </w:rPr>
      </w:pPr>
      <w:r>
        <w:rPr>
          <w:lang w:val="sq-AL"/>
        </w:rPr>
        <w:t>Imajući u obzir aktuelno  dugove</w:t>
      </w:r>
      <w:r>
        <w:rPr>
          <w:rFonts w:cstheme="minorHAnsi"/>
          <w:lang w:val="sq-AL"/>
        </w:rPr>
        <w:t>č</w:t>
      </w:r>
      <w:r>
        <w:rPr>
          <w:lang w:val="sq-AL"/>
        </w:rPr>
        <w:t>nost</w:t>
      </w:r>
      <w:r w:rsidRPr="002D2A85">
        <w:rPr>
          <w:lang w:val="sq-AL"/>
        </w:rPr>
        <w:t xml:space="preserve"> sredstava i razvoj u IT sek</w:t>
      </w:r>
      <w:r>
        <w:rPr>
          <w:lang w:val="sq-AL"/>
        </w:rPr>
        <w:t>toru, verujemo da RUE treba</w:t>
      </w:r>
      <w:r w:rsidRPr="002D2A85">
        <w:rPr>
          <w:lang w:val="sq-AL"/>
        </w:rPr>
        <w:t xml:space="preserve"> da odredi </w:t>
      </w:r>
      <w:r>
        <w:rPr>
          <w:lang w:val="sq-AL"/>
        </w:rPr>
        <w:t>dugove</w:t>
      </w:r>
      <w:r>
        <w:rPr>
          <w:rFonts w:cstheme="minorHAnsi"/>
          <w:lang w:val="sq-AL"/>
        </w:rPr>
        <w:t>č</w:t>
      </w:r>
      <w:r>
        <w:rPr>
          <w:lang w:val="sq-AL"/>
        </w:rPr>
        <w:t>nost</w:t>
      </w:r>
      <w:r w:rsidRPr="002D2A85">
        <w:rPr>
          <w:lang w:val="sq-AL"/>
        </w:rPr>
        <w:t xml:space="preserve"> kancelarijske opreme na 5 godina, slično kao kod operatera distribucije i prenosa. Međutim, u pogledu IT opreme i softvera, </w:t>
      </w:r>
      <w:r w:rsidR="003E2F78">
        <w:rPr>
          <w:lang w:val="sq-AL"/>
        </w:rPr>
        <w:t>KESCO predlaže da se dugove</w:t>
      </w:r>
      <w:r w:rsidR="003E2F78">
        <w:rPr>
          <w:rFonts w:cstheme="minorHAnsi"/>
          <w:lang w:val="sq-AL"/>
        </w:rPr>
        <w:t>č</w:t>
      </w:r>
      <w:r w:rsidR="003E2F78">
        <w:rPr>
          <w:lang w:val="sq-AL"/>
        </w:rPr>
        <w:t>nost</w:t>
      </w:r>
      <w:r w:rsidRPr="002D2A85">
        <w:rPr>
          <w:lang w:val="sq-AL"/>
        </w:rPr>
        <w:t xml:space="preserve"> postavi na 3 godine, kako bi se zadovoljili savremeni zahtevi elektroenergetskih sistema. Sledeća tabela prikazuje prosečne godine koje razne međunarodne kompanije k</w:t>
      </w:r>
      <w:r w:rsidR="003E2F78">
        <w:rPr>
          <w:lang w:val="sq-AL"/>
        </w:rPr>
        <w:t>oriste za amortizaciju softvera</w:t>
      </w:r>
      <w:r w:rsidR="0075093C" w:rsidRPr="00450894">
        <w:rPr>
          <w:lang w:val="sq-AL"/>
        </w:rPr>
        <w:t>:</w:t>
      </w:r>
    </w:p>
    <w:p w:rsidR="0075093C" w:rsidRPr="005F0EEB" w:rsidRDefault="0075093C" w:rsidP="0075093C">
      <w:pPr>
        <w:pStyle w:val="Caption"/>
        <w:rPr>
          <w:lang w:val="sq-AL"/>
        </w:rPr>
      </w:pPr>
      <w:r w:rsidRPr="005F0EEB">
        <w:rPr>
          <w:lang w:val="sq-AL"/>
        </w:rPr>
        <w:lastRenderedPageBreak/>
        <w:t xml:space="preserve">Tabela  </w:t>
      </w:r>
      <w:r w:rsidRPr="005F0EEB">
        <w:rPr>
          <w:lang w:val="sq-AL"/>
        </w:rPr>
        <w:fldChar w:fldCharType="begin"/>
      </w:r>
      <w:r w:rsidRPr="005F0EEB">
        <w:rPr>
          <w:lang w:val="sq-AL"/>
        </w:rPr>
        <w:instrText xml:space="preserve"> SEQ Tabela_ \* ARABIC </w:instrText>
      </w:r>
      <w:r w:rsidRPr="005F0EEB">
        <w:rPr>
          <w:lang w:val="sq-AL"/>
        </w:rPr>
        <w:fldChar w:fldCharType="separate"/>
      </w:r>
      <w:r w:rsidR="00AC532D">
        <w:rPr>
          <w:noProof/>
          <w:lang w:val="sq-AL"/>
        </w:rPr>
        <w:t>13</w:t>
      </w:r>
      <w:r w:rsidRPr="005F0EEB">
        <w:rPr>
          <w:lang w:val="sq-AL"/>
        </w:rPr>
        <w:fldChar w:fldCharType="end"/>
      </w:r>
      <w:r w:rsidRPr="005F0EEB">
        <w:rPr>
          <w:lang w:val="sq-AL"/>
        </w:rPr>
        <w:t xml:space="preserve"> </w:t>
      </w:r>
      <w:r w:rsidR="003E2F78">
        <w:rPr>
          <w:lang w:val="sq-AL"/>
        </w:rPr>
        <w:t>Prosečna dugove</w:t>
      </w:r>
      <w:r w:rsidR="003E2F78">
        <w:rPr>
          <w:rFonts w:cs="Calibri"/>
          <w:lang w:val="sq-AL"/>
        </w:rPr>
        <w:t>č</w:t>
      </w:r>
      <w:r w:rsidR="003E2F78">
        <w:rPr>
          <w:lang w:val="sq-AL"/>
        </w:rPr>
        <w:t>nost sredstava za izra</w:t>
      </w:r>
      <w:r w:rsidR="003E2F78" w:rsidRPr="003E2F78">
        <w:rPr>
          <w:lang w:val="sq-AL"/>
        </w:rPr>
        <w:t>čun</w:t>
      </w:r>
      <w:r w:rsidR="003E2F78">
        <w:rPr>
          <w:lang w:val="sq-AL"/>
        </w:rPr>
        <w:t>avanje</w:t>
      </w:r>
      <w:r w:rsidR="003E2F78" w:rsidRPr="003E2F78">
        <w:rPr>
          <w:lang w:val="sq-AL"/>
        </w:rPr>
        <w:t xml:space="preserve"> </w:t>
      </w:r>
      <w:r w:rsidR="003E2F78">
        <w:rPr>
          <w:lang w:val="sq-AL"/>
        </w:rPr>
        <w:t>amortizacije</w:t>
      </w:r>
    </w:p>
    <w:tbl>
      <w:tblPr>
        <w:tblW w:w="0" w:type="auto"/>
        <w:jc w:val="center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5"/>
        <w:gridCol w:w="2459"/>
      </w:tblGrid>
      <w:tr w:rsidR="0075093C" w:rsidRPr="00450894" w:rsidTr="00C85B1F">
        <w:trPr>
          <w:trHeight w:val="340"/>
          <w:jc w:val="center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75093C" w:rsidRPr="00450894" w:rsidRDefault="003E2F78" w:rsidP="0075093C">
            <w:pPr>
              <w:pStyle w:val="TableParagraph"/>
              <w:spacing w:before="9"/>
              <w:ind w:left="1868" w:right="1867"/>
              <w:jc w:val="center"/>
              <w:rPr>
                <w:b/>
                <w:lang w:val="sq-AL"/>
              </w:rPr>
            </w:pPr>
            <w:r w:rsidRPr="003E2F78">
              <w:rPr>
                <w:b/>
                <w:lang w:val="sq-AL"/>
              </w:rPr>
              <w:t>Prosečna amortizacija softverskih programa</w:t>
            </w:r>
          </w:p>
        </w:tc>
      </w:tr>
      <w:tr w:rsidR="0075093C" w:rsidRPr="00450894" w:rsidTr="00C85B1F">
        <w:trPr>
          <w:trHeight w:val="318"/>
          <w:jc w:val="center"/>
        </w:trPr>
        <w:tc>
          <w:tcPr>
            <w:tcW w:w="5975" w:type="dxa"/>
            <w:tcBorders>
              <w:top w:val="nil"/>
            </w:tcBorders>
            <w:shd w:val="clear" w:color="auto" w:fill="DEEAF6"/>
          </w:tcPr>
          <w:p w:rsidR="0075093C" w:rsidRPr="00CC5249" w:rsidRDefault="0075093C" w:rsidP="0075093C">
            <w:pPr>
              <w:pStyle w:val="TableParagraph"/>
              <w:spacing w:line="268" w:lineRule="exact"/>
              <w:rPr>
                <w:b/>
                <w:lang w:val="sq-AL"/>
              </w:rPr>
            </w:pPr>
            <w:r w:rsidRPr="00CC5249">
              <w:rPr>
                <w:b/>
                <w:lang w:val="sq-AL"/>
              </w:rPr>
              <w:t>Kompani</w:t>
            </w:r>
            <w:r w:rsidR="003E2F78">
              <w:rPr>
                <w:b/>
                <w:lang w:val="sq-AL"/>
              </w:rPr>
              <w:t>j</w:t>
            </w:r>
            <w:r w:rsidRPr="00CC5249">
              <w:rPr>
                <w:b/>
                <w:lang w:val="sq-AL"/>
              </w:rPr>
              <w:t>a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DEEAF6"/>
          </w:tcPr>
          <w:p w:rsidR="0075093C" w:rsidRPr="003E2F78" w:rsidRDefault="003E2F78" w:rsidP="0075093C">
            <w:pPr>
              <w:pStyle w:val="TableParagraph"/>
              <w:spacing w:line="268" w:lineRule="exact"/>
              <w:rPr>
                <w:b/>
                <w:lang w:val="sq-AL"/>
              </w:rPr>
            </w:pPr>
            <w:r w:rsidRPr="003E2F78">
              <w:rPr>
                <w:b/>
                <w:lang w:val="sq-AL"/>
              </w:rPr>
              <w:t>Dugove</w:t>
            </w:r>
            <w:r w:rsidRPr="003E2F78">
              <w:rPr>
                <w:rFonts w:cstheme="minorHAnsi"/>
                <w:b/>
                <w:lang w:val="sq-AL"/>
              </w:rPr>
              <w:t>č</w:t>
            </w:r>
            <w:r w:rsidRPr="003E2F78">
              <w:rPr>
                <w:b/>
                <w:lang w:val="sq-AL"/>
              </w:rPr>
              <w:t>nost sredstava</w:t>
            </w:r>
          </w:p>
        </w:tc>
      </w:tr>
      <w:tr w:rsidR="0075093C" w:rsidRPr="00450894" w:rsidTr="00C85B1F">
        <w:trPr>
          <w:trHeight w:val="321"/>
          <w:jc w:val="center"/>
        </w:trPr>
        <w:tc>
          <w:tcPr>
            <w:tcW w:w="5975" w:type="dxa"/>
          </w:tcPr>
          <w:p w:rsidR="0075093C" w:rsidRPr="00CC5249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CC5249">
              <w:rPr>
                <w:lang w:val="sq-AL"/>
              </w:rPr>
              <w:t>Apple</w:t>
            </w:r>
          </w:p>
        </w:tc>
        <w:tc>
          <w:tcPr>
            <w:tcW w:w="2459" w:type="dxa"/>
          </w:tcPr>
          <w:p w:rsidR="0075093C" w:rsidRPr="007F49D2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B26335">
              <w:rPr>
                <w:lang w:val="sq-AL"/>
              </w:rPr>
              <w:t>3-5</w:t>
            </w:r>
            <w:r w:rsidRPr="00B26335">
              <w:rPr>
                <w:spacing w:val="-3"/>
                <w:lang w:val="sq-AL"/>
              </w:rPr>
              <w:t xml:space="preserve"> </w:t>
            </w:r>
            <w:r w:rsidR="003E2F78">
              <w:rPr>
                <w:lang w:val="sq-AL"/>
              </w:rPr>
              <w:t>godina</w:t>
            </w:r>
          </w:p>
        </w:tc>
      </w:tr>
      <w:tr w:rsidR="0075093C" w:rsidRPr="00450894" w:rsidTr="00C85B1F">
        <w:trPr>
          <w:trHeight w:val="318"/>
          <w:jc w:val="center"/>
        </w:trPr>
        <w:tc>
          <w:tcPr>
            <w:tcW w:w="5975" w:type="dxa"/>
            <w:shd w:val="clear" w:color="auto" w:fill="DEEAF6"/>
          </w:tcPr>
          <w:p w:rsidR="0075093C" w:rsidRPr="00CC5249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CC5249">
              <w:rPr>
                <w:lang w:val="sq-AL"/>
              </w:rPr>
              <w:t>Microsoft</w:t>
            </w:r>
          </w:p>
        </w:tc>
        <w:tc>
          <w:tcPr>
            <w:tcW w:w="2459" w:type="dxa"/>
            <w:shd w:val="clear" w:color="auto" w:fill="DEEAF6"/>
          </w:tcPr>
          <w:p w:rsidR="0075093C" w:rsidRPr="007F49D2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B26335">
              <w:rPr>
                <w:lang w:val="sq-AL"/>
              </w:rPr>
              <w:t>3-7</w:t>
            </w:r>
            <w:r w:rsidRPr="00B26335">
              <w:rPr>
                <w:spacing w:val="-3"/>
                <w:lang w:val="sq-AL"/>
              </w:rPr>
              <w:t xml:space="preserve"> </w:t>
            </w:r>
            <w:r w:rsidR="003E2F78">
              <w:rPr>
                <w:lang w:val="sq-AL"/>
              </w:rPr>
              <w:t>godina</w:t>
            </w:r>
          </w:p>
        </w:tc>
      </w:tr>
      <w:tr w:rsidR="0075093C" w:rsidRPr="00450894" w:rsidTr="00C85B1F">
        <w:trPr>
          <w:trHeight w:val="321"/>
          <w:jc w:val="center"/>
        </w:trPr>
        <w:tc>
          <w:tcPr>
            <w:tcW w:w="5975" w:type="dxa"/>
          </w:tcPr>
          <w:p w:rsidR="0075093C" w:rsidRPr="00CC5249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CC5249">
              <w:rPr>
                <w:lang w:val="sq-AL"/>
              </w:rPr>
              <w:t>Facebook</w:t>
            </w:r>
          </w:p>
        </w:tc>
        <w:tc>
          <w:tcPr>
            <w:tcW w:w="2459" w:type="dxa"/>
          </w:tcPr>
          <w:p w:rsidR="0075093C" w:rsidRPr="007F49D2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B26335">
              <w:rPr>
                <w:lang w:val="sq-AL"/>
              </w:rPr>
              <w:t>2-5</w:t>
            </w:r>
            <w:r w:rsidRPr="00B26335">
              <w:rPr>
                <w:spacing w:val="-3"/>
                <w:lang w:val="sq-AL"/>
              </w:rPr>
              <w:t xml:space="preserve"> </w:t>
            </w:r>
            <w:r w:rsidR="003E2F78">
              <w:rPr>
                <w:lang w:val="sq-AL"/>
              </w:rPr>
              <w:t>godina</w:t>
            </w:r>
          </w:p>
        </w:tc>
      </w:tr>
      <w:tr w:rsidR="0075093C" w:rsidRPr="00450894" w:rsidTr="00C85B1F">
        <w:trPr>
          <w:trHeight w:val="318"/>
          <w:jc w:val="center"/>
        </w:trPr>
        <w:tc>
          <w:tcPr>
            <w:tcW w:w="5975" w:type="dxa"/>
            <w:shd w:val="clear" w:color="auto" w:fill="DEEAF6"/>
          </w:tcPr>
          <w:p w:rsidR="0075093C" w:rsidRPr="00CC5249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CC5249">
              <w:rPr>
                <w:lang w:val="sq-AL"/>
              </w:rPr>
              <w:t>Johnson&amp;Johnson</w:t>
            </w:r>
          </w:p>
        </w:tc>
        <w:tc>
          <w:tcPr>
            <w:tcW w:w="2459" w:type="dxa"/>
            <w:shd w:val="clear" w:color="auto" w:fill="DEEAF6"/>
          </w:tcPr>
          <w:p w:rsidR="0075093C" w:rsidRPr="007F49D2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B26335">
              <w:rPr>
                <w:lang w:val="sq-AL"/>
              </w:rPr>
              <w:t>3-8</w:t>
            </w:r>
            <w:r w:rsidR="003E2F78">
              <w:rPr>
                <w:lang w:val="sq-AL"/>
              </w:rPr>
              <w:t xml:space="preserve"> </w:t>
            </w:r>
            <w:r w:rsidR="003E2F78">
              <w:rPr>
                <w:spacing w:val="-3"/>
                <w:lang w:val="sq-AL"/>
              </w:rPr>
              <w:t>godina</w:t>
            </w:r>
          </w:p>
        </w:tc>
      </w:tr>
      <w:tr w:rsidR="0075093C" w:rsidRPr="00450894" w:rsidTr="00C85B1F">
        <w:trPr>
          <w:trHeight w:val="321"/>
          <w:jc w:val="center"/>
        </w:trPr>
        <w:tc>
          <w:tcPr>
            <w:tcW w:w="5975" w:type="dxa"/>
          </w:tcPr>
          <w:p w:rsidR="0075093C" w:rsidRPr="00EF4D5D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CC5249">
              <w:rPr>
                <w:lang w:val="sq-AL"/>
              </w:rPr>
              <w:t>Proctor</w:t>
            </w:r>
            <w:r w:rsidRPr="00CC5249">
              <w:rPr>
                <w:spacing w:val="-1"/>
                <w:lang w:val="sq-AL"/>
              </w:rPr>
              <w:t xml:space="preserve"> </w:t>
            </w:r>
            <w:r w:rsidRPr="00CC5249">
              <w:rPr>
                <w:lang w:val="sq-AL"/>
              </w:rPr>
              <w:t>and</w:t>
            </w:r>
            <w:r w:rsidRPr="00CC5249">
              <w:rPr>
                <w:spacing w:val="-2"/>
                <w:lang w:val="sq-AL"/>
              </w:rPr>
              <w:t xml:space="preserve"> </w:t>
            </w:r>
            <w:r w:rsidRPr="00EF4D5D">
              <w:rPr>
                <w:lang w:val="sq-AL"/>
              </w:rPr>
              <w:t>Gamble</w:t>
            </w:r>
          </w:p>
        </w:tc>
        <w:tc>
          <w:tcPr>
            <w:tcW w:w="2459" w:type="dxa"/>
          </w:tcPr>
          <w:p w:rsidR="0075093C" w:rsidRPr="007F49D2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B26335">
              <w:rPr>
                <w:lang w:val="sq-AL"/>
              </w:rPr>
              <w:t>3-5</w:t>
            </w:r>
            <w:r w:rsidRPr="00B26335">
              <w:rPr>
                <w:spacing w:val="-3"/>
                <w:lang w:val="sq-AL"/>
              </w:rPr>
              <w:t xml:space="preserve"> </w:t>
            </w:r>
            <w:r w:rsidR="003E2F78">
              <w:rPr>
                <w:lang w:val="sq-AL"/>
              </w:rPr>
              <w:t>godina</w:t>
            </w:r>
          </w:p>
        </w:tc>
      </w:tr>
      <w:tr w:rsidR="0075093C" w:rsidRPr="00450894" w:rsidTr="00C85B1F">
        <w:trPr>
          <w:trHeight w:val="319"/>
          <w:jc w:val="center"/>
        </w:trPr>
        <w:tc>
          <w:tcPr>
            <w:tcW w:w="5975" w:type="dxa"/>
            <w:shd w:val="clear" w:color="auto" w:fill="DEEAF6"/>
          </w:tcPr>
          <w:p w:rsidR="0075093C" w:rsidRPr="00CC5249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CC5249">
              <w:rPr>
                <w:lang w:val="sq-AL"/>
              </w:rPr>
              <w:t>NVIDIA</w:t>
            </w:r>
          </w:p>
        </w:tc>
        <w:tc>
          <w:tcPr>
            <w:tcW w:w="2459" w:type="dxa"/>
            <w:shd w:val="clear" w:color="auto" w:fill="DEEAF6"/>
          </w:tcPr>
          <w:p w:rsidR="0075093C" w:rsidRPr="007F49D2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B26335">
              <w:rPr>
                <w:lang w:val="sq-AL"/>
              </w:rPr>
              <w:t>3-5</w:t>
            </w:r>
            <w:r w:rsidRPr="00B26335">
              <w:rPr>
                <w:spacing w:val="-3"/>
                <w:lang w:val="sq-AL"/>
              </w:rPr>
              <w:t xml:space="preserve"> </w:t>
            </w:r>
            <w:r w:rsidR="003E2F78">
              <w:rPr>
                <w:lang w:val="sq-AL"/>
              </w:rPr>
              <w:t>godina</w:t>
            </w:r>
          </w:p>
        </w:tc>
      </w:tr>
      <w:tr w:rsidR="0075093C" w:rsidRPr="00450894" w:rsidTr="00C85B1F">
        <w:trPr>
          <w:trHeight w:val="317"/>
          <w:jc w:val="center"/>
        </w:trPr>
        <w:tc>
          <w:tcPr>
            <w:tcW w:w="5975" w:type="dxa"/>
            <w:tcBorders>
              <w:bottom w:val="single" w:sz="36" w:space="0" w:color="DEEAF6"/>
            </w:tcBorders>
          </w:tcPr>
          <w:p w:rsidR="0075093C" w:rsidRPr="00CC5249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CC5249">
              <w:rPr>
                <w:lang w:val="sq-AL"/>
              </w:rPr>
              <w:t>Home</w:t>
            </w:r>
            <w:r w:rsidRPr="00CC5249">
              <w:rPr>
                <w:spacing w:val="-3"/>
                <w:lang w:val="sq-AL"/>
              </w:rPr>
              <w:t xml:space="preserve"> </w:t>
            </w:r>
            <w:r w:rsidRPr="00CC5249">
              <w:rPr>
                <w:lang w:val="sq-AL"/>
              </w:rPr>
              <w:t>Depot</w:t>
            </w:r>
          </w:p>
        </w:tc>
        <w:tc>
          <w:tcPr>
            <w:tcW w:w="2459" w:type="dxa"/>
            <w:tcBorders>
              <w:bottom w:val="single" w:sz="36" w:space="0" w:color="DEEAF6"/>
            </w:tcBorders>
          </w:tcPr>
          <w:p w:rsidR="0075093C" w:rsidRPr="007F49D2" w:rsidRDefault="0075093C" w:rsidP="0075093C">
            <w:pPr>
              <w:pStyle w:val="TableParagraph"/>
              <w:spacing w:line="268" w:lineRule="exact"/>
              <w:rPr>
                <w:lang w:val="sq-AL"/>
              </w:rPr>
            </w:pPr>
            <w:r w:rsidRPr="00B26335">
              <w:rPr>
                <w:lang w:val="sq-AL"/>
              </w:rPr>
              <w:t>3-6</w:t>
            </w:r>
            <w:r w:rsidRPr="00B26335">
              <w:rPr>
                <w:spacing w:val="-3"/>
                <w:lang w:val="sq-AL"/>
              </w:rPr>
              <w:t xml:space="preserve"> </w:t>
            </w:r>
            <w:r w:rsidR="003E2F78">
              <w:rPr>
                <w:lang w:val="sq-AL"/>
              </w:rPr>
              <w:t>godina</w:t>
            </w:r>
          </w:p>
        </w:tc>
      </w:tr>
      <w:tr w:rsidR="0075093C" w:rsidRPr="00450894" w:rsidTr="00C85B1F">
        <w:trPr>
          <w:trHeight w:val="533"/>
          <w:jc w:val="center"/>
        </w:trPr>
        <w:tc>
          <w:tcPr>
            <w:tcW w:w="8434" w:type="dxa"/>
            <w:gridSpan w:val="2"/>
            <w:tcBorders>
              <w:top w:val="single" w:sz="36" w:space="0" w:color="DEEAF6"/>
            </w:tcBorders>
          </w:tcPr>
          <w:p w:rsidR="0075093C" w:rsidRPr="003C06AF" w:rsidRDefault="003E2F78" w:rsidP="0075093C">
            <w:pPr>
              <w:pStyle w:val="TableParagraph"/>
              <w:spacing w:line="264" w:lineRule="exact"/>
              <w:rPr>
                <w:lang w:val="sq-AL"/>
              </w:rPr>
            </w:pPr>
            <w:r>
              <w:rPr>
                <w:lang w:val="sq-AL"/>
              </w:rPr>
              <w:t>Izvor</w:t>
            </w:r>
            <w:r w:rsidR="0075093C" w:rsidRPr="00CC5249">
              <w:rPr>
                <w:lang w:val="sq-AL"/>
              </w:rPr>
              <w:t>:</w:t>
            </w:r>
            <w:r w:rsidR="0075093C" w:rsidRPr="00CC5249">
              <w:rPr>
                <w:spacing w:val="-4"/>
                <w:lang w:val="sq-AL"/>
              </w:rPr>
              <w:t xml:space="preserve"> </w:t>
            </w:r>
            <w:r w:rsidRPr="003E2F78">
              <w:rPr>
                <w:spacing w:val="-4"/>
                <w:lang w:val="sq-AL"/>
              </w:rPr>
              <w:t xml:space="preserve">Podaci kompanija prema istraživanjima </w:t>
            </w:r>
            <w:r w:rsidR="00A13800">
              <w:rPr>
                <w:spacing w:val="-4"/>
                <w:lang w:val="sq-AL"/>
              </w:rPr>
              <w:t xml:space="preserve">od </w:t>
            </w:r>
            <w:r w:rsidR="0075093C" w:rsidRPr="003C06AF">
              <w:rPr>
                <w:lang w:val="sq-AL"/>
              </w:rPr>
              <w:t>Andre</w:t>
            </w:r>
            <w:r w:rsidR="005F0EEB">
              <w:rPr>
                <w:lang w:val="sq-AL"/>
              </w:rPr>
              <w:t>w</w:t>
            </w:r>
            <w:r w:rsidR="0075093C" w:rsidRPr="003C06AF">
              <w:rPr>
                <w:spacing w:val="-2"/>
                <w:lang w:val="sq-AL"/>
              </w:rPr>
              <w:t xml:space="preserve"> </w:t>
            </w:r>
            <w:r w:rsidR="0075093C" w:rsidRPr="003C06AF">
              <w:rPr>
                <w:lang w:val="sq-AL"/>
              </w:rPr>
              <w:t>Sather</w:t>
            </w:r>
          </w:p>
          <w:p w:rsidR="0075093C" w:rsidRPr="00CC5249" w:rsidRDefault="003E2F78" w:rsidP="0075093C">
            <w:pPr>
              <w:pStyle w:val="TableParagraph"/>
              <w:spacing w:line="249" w:lineRule="exact"/>
              <w:rPr>
                <w:lang w:val="sq-AL"/>
              </w:rPr>
            </w:pPr>
            <w:r>
              <w:rPr>
                <w:lang w:val="sq-AL"/>
              </w:rPr>
              <w:t>Link</w:t>
            </w:r>
            <w:r w:rsidR="0075093C" w:rsidRPr="003C06AF">
              <w:rPr>
                <w:lang w:val="sq-AL"/>
              </w:rPr>
              <w:t>:</w:t>
            </w:r>
            <w:r w:rsidR="0075093C" w:rsidRPr="003C06AF">
              <w:rPr>
                <w:spacing w:val="-11"/>
                <w:lang w:val="sq-AL"/>
              </w:rPr>
              <w:t xml:space="preserve"> </w:t>
            </w:r>
            <w:hyperlink r:id="rId15" w:history="1">
              <w:r w:rsidR="0075093C" w:rsidRPr="00AC02E5">
                <w:rPr>
                  <w:rStyle w:val="Hyperlink"/>
                  <w:lang w:val="sq-AL"/>
                </w:rPr>
                <w:t>https://einvestingforbeginners.com/computer-soft</w:t>
              </w:r>
              <w:r w:rsidR="0075093C">
                <w:rPr>
                  <w:rStyle w:val="Hyperlink"/>
                  <w:lang w:val="sq-AL"/>
                </w:rPr>
                <w:t>ë</w:t>
              </w:r>
              <w:r w:rsidR="0075093C" w:rsidRPr="00AC02E5">
                <w:rPr>
                  <w:rStyle w:val="Hyperlink"/>
                  <w:lang w:val="sq-AL"/>
                </w:rPr>
                <w:t>are-depreciation-accounting/</w:t>
              </w:r>
            </w:hyperlink>
            <w:r w:rsidR="0075093C" w:rsidRPr="00CC5249">
              <w:rPr>
                <w:lang w:val="sq-AL"/>
              </w:rPr>
              <w:t xml:space="preserve"> </w:t>
            </w:r>
          </w:p>
        </w:tc>
      </w:tr>
    </w:tbl>
    <w:p w:rsidR="0075093C" w:rsidRPr="00CC5249" w:rsidRDefault="0075093C" w:rsidP="0075093C">
      <w:pPr>
        <w:rPr>
          <w:lang w:val="sq-AL"/>
        </w:rPr>
      </w:pPr>
    </w:p>
    <w:p w:rsidR="0075093C" w:rsidRDefault="007C1BAA" w:rsidP="005F0EEB">
      <w:pPr>
        <w:jc w:val="both"/>
        <w:rPr>
          <w:lang w:val="sq-AL"/>
        </w:rPr>
      </w:pPr>
      <w:r>
        <w:rPr>
          <w:lang w:val="sq-AL"/>
        </w:rPr>
        <w:t xml:space="preserve">KESCO u svojoj aplikaciji </w:t>
      </w:r>
      <w:r w:rsidRPr="007C1BAA">
        <w:rPr>
          <w:lang w:val="sq-AL"/>
        </w:rPr>
        <w:t>zahteva od RUE</w:t>
      </w:r>
      <w:r>
        <w:rPr>
          <w:lang w:val="sq-AL"/>
        </w:rPr>
        <w:t>-a da razmotri podelu dugove</w:t>
      </w:r>
      <w:r>
        <w:rPr>
          <w:rFonts w:cstheme="minorHAnsi"/>
          <w:lang w:val="sq-AL"/>
        </w:rPr>
        <w:t>č</w:t>
      </w:r>
      <w:r>
        <w:rPr>
          <w:lang w:val="sq-AL"/>
        </w:rPr>
        <w:t>nosti</w:t>
      </w:r>
      <w:r w:rsidRPr="007C1BAA">
        <w:rPr>
          <w:lang w:val="sq-AL"/>
        </w:rPr>
        <w:t xml:space="preserve"> </w:t>
      </w:r>
      <w:r>
        <w:rPr>
          <w:lang w:val="sq-AL"/>
        </w:rPr>
        <w:t xml:space="preserve">sredstava SUU </w:t>
      </w:r>
      <w:r w:rsidRPr="007C1BAA">
        <w:rPr>
          <w:lang w:val="sq-AL"/>
        </w:rPr>
        <w:t>u dve grupe, kao što je prikazano u sledećoj tabeli:</w:t>
      </w:r>
    </w:p>
    <w:p w:rsidR="00820A8B" w:rsidRDefault="00820A8B" w:rsidP="005F0EEB">
      <w:pPr>
        <w:jc w:val="both"/>
        <w:rPr>
          <w:lang w:val="sq-AL"/>
        </w:rPr>
      </w:pPr>
    </w:p>
    <w:p w:rsidR="00E33A41" w:rsidRPr="00E33A41" w:rsidRDefault="0075093C" w:rsidP="00E33A41">
      <w:pPr>
        <w:pStyle w:val="Heading2"/>
        <w:numPr>
          <w:ilvl w:val="1"/>
          <w:numId w:val="20"/>
        </w:numPr>
        <w:rPr>
          <w:i/>
          <w:sz w:val="22"/>
        </w:rPr>
      </w:pPr>
      <w:r w:rsidRPr="00E33A41">
        <w:rPr>
          <w:sz w:val="22"/>
          <w:lang w:val="sq-AL"/>
        </w:rPr>
        <w:t xml:space="preserve">Tabela  </w:t>
      </w:r>
      <w:r w:rsidRPr="00E33A41">
        <w:rPr>
          <w:sz w:val="22"/>
          <w:lang w:val="sq-AL"/>
        </w:rPr>
        <w:fldChar w:fldCharType="begin"/>
      </w:r>
      <w:r w:rsidRPr="00E33A41">
        <w:rPr>
          <w:sz w:val="22"/>
          <w:lang w:val="sq-AL"/>
        </w:rPr>
        <w:instrText xml:space="preserve"> SEQ Tabela_ \* ARABIC </w:instrText>
      </w:r>
      <w:r w:rsidRPr="00E33A41">
        <w:rPr>
          <w:sz w:val="22"/>
          <w:lang w:val="sq-AL"/>
        </w:rPr>
        <w:fldChar w:fldCharType="separate"/>
      </w:r>
      <w:r w:rsidR="00AC532D" w:rsidRPr="00E33A41">
        <w:rPr>
          <w:noProof/>
          <w:sz w:val="22"/>
          <w:lang w:val="sq-AL"/>
        </w:rPr>
        <w:t>14</w:t>
      </w:r>
      <w:r w:rsidRPr="00E33A41">
        <w:rPr>
          <w:sz w:val="22"/>
          <w:lang w:val="sq-AL"/>
        </w:rPr>
        <w:fldChar w:fldCharType="end"/>
      </w:r>
      <w:r w:rsidRPr="00E33A41">
        <w:rPr>
          <w:sz w:val="22"/>
          <w:lang w:val="sq-AL"/>
        </w:rPr>
        <w:t xml:space="preserve"> </w:t>
      </w:r>
      <w:r w:rsidR="00E33A41" w:rsidRPr="00E33A41">
        <w:rPr>
          <w:i/>
          <w:sz w:val="22"/>
          <w:lang w:val="sq-AL"/>
        </w:rPr>
        <w:t>Kate</w:t>
      </w:r>
      <w:r w:rsidR="00E33A41">
        <w:rPr>
          <w:i/>
          <w:sz w:val="22"/>
          <w:lang w:val="sq-AL"/>
        </w:rPr>
        <w:t>gorizacija i dugovečnost sredstava</w:t>
      </w:r>
    </w:p>
    <w:p w:rsidR="0075093C" w:rsidRPr="00E33A41" w:rsidRDefault="0075093C" w:rsidP="0075093C">
      <w:pPr>
        <w:pStyle w:val="Caption"/>
        <w:rPr>
          <w:szCs w:val="22"/>
          <w:lang w:val="sq-AL"/>
        </w:rPr>
      </w:pPr>
    </w:p>
    <w:tbl>
      <w:tblPr>
        <w:tblW w:w="0" w:type="auto"/>
        <w:tblInd w:w="1748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2230"/>
      </w:tblGrid>
      <w:tr w:rsidR="0075093C" w:rsidRPr="00450894" w:rsidTr="0075093C">
        <w:trPr>
          <w:trHeight w:val="31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75093C" w:rsidRPr="00450894" w:rsidRDefault="007E62EC" w:rsidP="0075093C">
            <w:pPr>
              <w:pStyle w:val="TableParagraph"/>
              <w:spacing w:before="23"/>
              <w:ind w:left="112"/>
              <w:rPr>
                <w:b/>
                <w:lang w:val="sq-AL"/>
              </w:rPr>
            </w:pPr>
            <w:r>
              <w:rPr>
                <w:b/>
                <w:lang w:val="sq-AL"/>
              </w:rPr>
              <w:t>Grupe amortizacije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75093C" w:rsidRPr="00450894" w:rsidRDefault="00E33A41" w:rsidP="0075093C">
            <w:pPr>
              <w:pStyle w:val="TableParagraph"/>
              <w:spacing w:before="9"/>
              <w:ind w:left="122"/>
              <w:rPr>
                <w:b/>
                <w:lang w:val="sq-AL"/>
              </w:rPr>
            </w:pPr>
            <w:r>
              <w:rPr>
                <w:b/>
                <w:lang w:val="sq-AL"/>
              </w:rPr>
              <w:t>Dugovečnost sredstava</w:t>
            </w:r>
          </w:p>
        </w:tc>
      </w:tr>
      <w:tr w:rsidR="0075093C" w:rsidRPr="00450894" w:rsidTr="0075093C">
        <w:trPr>
          <w:trHeight w:val="297"/>
        </w:trPr>
        <w:tc>
          <w:tcPr>
            <w:tcW w:w="4249" w:type="dxa"/>
            <w:tcBorders>
              <w:top w:val="nil"/>
            </w:tcBorders>
            <w:shd w:val="clear" w:color="auto" w:fill="DEEAF6"/>
          </w:tcPr>
          <w:p w:rsidR="0075093C" w:rsidRPr="00EF4D5D" w:rsidRDefault="0035584F" w:rsidP="0075093C">
            <w:pPr>
              <w:pStyle w:val="TableParagraph"/>
              <w:spacing w:before="13" w:line="264" w:lineRule="exact"/>
              <w:rPr>
                <w:lang w:val="sq-AL"/>
              </w:rPr>
            </w:pPr>
            <w:r>
              <w:rPr>
                <w:lang w:val="sq-AL"/>
              </w:rPr>
              <w:t>Kancelarijska O</w:t>
            </w:r>
            <w:r w:rsidRPr="0035584F">
              <w:rPr>
                <w:lang w:val="sq-AL"/>
              </w:rPr>
              <w:t>prema</w:t>
            </w:r>
          </w:p>
        </w:tc>
        <w:tc>
          <w:tcPr>
            <w:tcW w:w="2230" w:type="dxa"/>
            <w:tcBorders>
              <w:top w:val="nil"/>
            </w:tcBorders>
            <w:shd w:val="clear" w:color="auto" w:fill="DEEAF6"/>
          </w:tcPr>
          <w:p w:rsidR="0075093C" w:rsidRPr="007F49D2" w:rsidRDefault="0075093C" w:rsidP="0075093C">
            <w:pPr>
              <w:pStyle w:val="TableParagraph"/>
              <w:spacing w:before="13" w:line="264" w:lineRule="exact"/>
              <w:rPr>
                <w:lang w:val="sq-AL"/>
              </w:rPr>
            </w:pPr>
            <w:r w:rsidRPr="00B26335">
              <w:rPr>
                <w:lang w:val="sq-AL"/>
              </w:rPr>
              <w:t>5</w:t>
            </w:r>
            <w:r w:rsidRPr="00B26335">
              <w:rPr>
                <w:spacing w:val="-1"/>
                <w:lang w:val="sq-AL"/>
              </w:rPr>
              <w:t xml:space="preserve"> </w:t>
            </w:r>
            <w:r w:rsidR="0035584F">
              <w:rPr>
                <w:lang w:val="sq-AL"/>
              </w:rPr>
              <w:t>godine</w:t>
            </w:r>
          </w:p>
        </w:tc>
      </w:tr>
      <w:tr w:rsidR="0075093C" w:rsidRPr="00450894" w:rsidTr="0075093C">
        <w:trPr>
          <w:trHeight w:val="297"/>
        </w:trPr>
        <w:tc>
          <w:tcPr>
            <w:tcW w:w="4249" w:type="dxa"/>
          </w:tcPr>
          <w:p w:rsidR="0075093C" w:rsidRPr="00CC5249" w:rsidRDefault="0035584F" w:rsidP="0075093C">
            <w:pPr>
              <w:pStyle w:val="TableParagraph"/>
              <w:spacing w:before="14" w:line="264" w:lineRule="exact"/>
              <w:rPr>
                <w:lang w:val="sq-AL"/>
              </w:rPr>
            </w:pPr>
            <w:r w:rsidRPr="0035584F">
              <w:rPr>
                <w:lang w:val="sq-AL"/>
              </w:rPr>
              <w:t>Kompjuterski Programi</w:t>
            </w:r>
          </w:p>
        </w:tc>
        <w:tc>
          <w:tcPr>
            <w:tcW w:w="2230" w:type="dxa"/>
          </w:tcPr>
          <w:p w:rsidR="0075093C" w:rsidRPr="007F49D2" w:rsidRDefault="0075093C" w:rsidP="0075093C">
            <w:pPr>
              <w:pStyle w:val="TableParagraph"/>
              <w:spacing w:before="14" w:line="264" w:lineRule="exact"/>
              <w:rPr>
                <w:lang w:val="sq-AL"/>
              </w:rPr>
            </w:pPr>
            <w:r w:rsidRPr="00B26335">
              <w:rPr>
                <w:lang w:val="sq-AL"/>
              </w:rPr>
              <w:t>3</w:t>
            </w:r>
            <w:r w:rsidRPr="00B26335">
              <w:rPr>
                <w:spacing w:val="-1"/>
                <w:lang w:val="sq-AL"/>
              </w:rPr>
              <w:t xml:space="preserve"> </w:t>
            </w:r>
            <w:r w:rsidR="0035584F">
              <w:rPr>
                <w:lang w:val="sq-AL"/>
              </w:rPr>
              <w:t>godine</w:t>
            </w:r>
          </w:p>
        </w:tc>
      </w:tr>
    </w:tbl>
    <w:p w:rsidR="0075093C" w:rsidRPr="00CC5249" w:rsidRDefault="0075093C" w:rsidP="0075093C">
      <w:pPr>
        <w:rPr>
          <w:lang w:val="sq-AL"/>
        </w:rPr>
      </w:pPr>
    </w:p>
    <w:p w:rsidR="0075093C" w:rsidRPr="00B26335" w:rsidRDefault="007E62EC" w:rsidP="007E62EC">
      <w:pPr>
        <w:pStyle w:val="Heading3"/>
      </w:pPr>
      <w:bookmarkStart w:id="17" w:name="_Toc88226466"/>
      <w:r w:rsidRPr="007E62EC">
        <w:rPr>
          <w:lang w:val="sq-AL"/>
        </w:rPr>
        <w:t xml:space="preserve">Razmatranje i predlog RUE-a </w:t>
      </w:r>
      <w:bookmarkEnd w:id="17"/>
    </w:p>
    <w:p w:rsidR="0075093C" w:rsidRPr="00CC5249" w:rsidRDefault="00C94895" w:rsidP="005F0EEB">
      <w:pPr>
        <w:jc w:val="both"/>
        <w:rPr>
          <w:lang w:val="sq-AL"/>
        </w:rPr>
      </w:pPr>
      <w:r>
        <w:rPr>
          <w:lang w:val="sq-AL"/>
        </w:rPr>
        <w:t>Kona</w:t>
      </w:r>
      <w:r>
        <w:rPr>
          <w:rFonts w:cstheme="minorHAnsi"/>
          <w:lang w:val="sq-AL"/>
        </w:rPr>
        <w:t>č</w:t>
      </w:r>
      <w:r>
        <w:rPr>
          <w:lang w:val="sq-AL"/>
        </w:rPr>
        <w:t>na</w:t>
      </w:r>
      <w:r w:rsidR="007E62EC" w:rsidRPr="007E62EC">
        <w:rPr>
          <w:lang w:val="sq-AL"/>
        </w:rPr>
        <w:t xml:space="preserve"> odluka RUE</w:t>
      </w:r>
      <w:r>
        <w:rPr>
          <w:lang w:val="sq-AL"/>
        </w:rPr>
        <w:t>-a o dugove</w:t>
      </w:r>
      <w:r>
        <w:rPr>
          <w:rFonts w:cstheme="minorHAnsi"/>
          <w:lang w:val="sq-AL"/>
        </w:rPr>
        <w:t>č</w:t>
      </w:r>
      <w:r>
        <w:rPr>
          <w:lang w:val="sq-AL"/>
        </w:rPr>
        <w:t xml:space="preserve">nosti </w:t>
      </w:r>
      <w:r w:rsidR="007E62EC" w:rsidRPr="007E62EC">
        <w:rPr>
          <w:lang w:val="sq-AL"/>
        </w:rPr>
        <w:t>sredstava u vezi sa kancelarijskom opremom i IT infrastrukturom doneta je u procesu period</w:t>
      </w:r>
      <w:r>
        <w:rPr>
          <w:lang w:val="sq-AL"/>
        </w:rPr>
        <w:t>ične revizije OPS-a i ODS-a za Regulatorni P</w:t>
      </w:r>
      <w:r w:rsidR="007E62EC" w:rsidRPr="007E62EC">
        <w:rPr>
          <w:lang w:val="sq-AL"/>
        </w:rPr>
        <w:t>eriod</w:t>
      </w:r>
      <w:r w:rsidR="0075093C" w:rsidRPr="00B1408C">
        <w:rPr>
          <w:lang w:val="sq-AL"/>
        </w:rPr>
        <w:t xml:space="preserve"> 2018-2022 </w:t>
      </w:r>
      <w:r w:rsidR="0075093C" w:rsidRPr="00CC5249">
        <w:rPr>
          <w:rStyle w:val="FootnoteReference"/>
          <w:lang w:val="sq-AL"/>
        </w:rPr>
        <w:footnoteReference w:id="7"/>
      </w:r>
      <w:r w:rsidR="0075093C" w:rsidRPr="00CC5249">
        <w:rPr>
          <w:lang w:val="sq-AL"/>
        </w:rPr>
        <w:t xml:space="preserve">. </w:t>
      </w:r>
      <w:r>
        <w:rPr>
          <w:lang w:val="sq-AL"/>
        </w:rPr>
        <w:t>Ponderisana dugove</w:t>
      </w:r>
      <w:r>
        <w:rPr>
          <w:rFonts w:cstheme="minorHAnsi"/>
          <w:lang w:val="sq-AL"/>
        </w:rPr>
        <w:t>č</w:t>
      </w:r>
      <w:r>
        <w:rPr>
          <w:lang w:val="sq-AL"/>
        </w:rPr>
        <w:t xml:space="preserve">nost </w:t>
      </w:r>
      <w:r w:rsidRPr="00C94895">
        <w:rPr>
          <w:lang w:val="sq-AL"/>
        </w:rPr>
        <w:t>sredstava za IT opremu, softver, licence i patente postavljen je na 5 godina, dok je za kancelarijski nam</w:t>
      </w:r>
      <w:r>
        <w:rPr>
          <w:lang w:val="sq-AL"/>
        </w:rPr>
        <w:t xml:space="preserve">eštaj </w:t>
      </w:r>
      <w:r w:rsidRPr="00C94895">
        <w:rPr>
          <w:lang w:val="sq-AL"/>
        </w:rPr>
        <w:t>i opremu postavljen na 7 godina.</w:t>
      </w:r>
      <w:r w:rsidR="0075093C" w:rsidRPr="00CC5249">
        <w:rPr>
          <w:lang w:val="sq-AL"/>
        </w:rPr>
        <w:t xml:space="preserve"> </w:t>
      </w:r>
    </w:p>
    <w:p w:rsidR="0075093C" w:rsidRPr="00CC5249" w:rsidRDefault="00C94895" w:rsidP="005F0EEB">
      <w:pPr>
        <w:jc w:val="both"/>
        <w:rPr>
          <w:lang w:val="sq-AL"/>
        </w:rPr>
      </w:pPr>
      <w:r w:rsidRPr="00C94895">
        <w:rPr>
          <w:lang w:val="sq-AL"/>
        </w:rPr>
        <w:t>Odluka RUE</w:t>
      </w:r>
      <w:r>
        <w:rPr>
          <w:lang w:val="sq-AL"/>
        </w:rPr>
        <w:t>-a tokom Periodičnog Razmatranja</w:t>
      </w:r>
      <w:r w:rsidRPr="00C94895">
        <w:rPr>
          <w:lang w:val="sq-AL"/>
        </w:rPr>
        <w:t xml:space="preserve"> d</w:t>
      </w:r>
      <w:r>
        <w:rPr>
          <w:lang w:val="sq-AL"/>
        </w:rPr>
        <w:t>oneta je na osnovu Izveštaja o Uslovima Investiranja Saveta Evropskih Energetskih R</w:t>
      </w:r>
      <w:r w:rsidRPr="00C94895">
        <w:rPr>
          <w:lang w:val="sq-AL"/>
        </w:rPr>
        <w:t>egulatora (</w:t>
      </w:r>
      <w:r>
        <w:rPr>
          <w:lang w:val="sq-AL"/>
        </w:rPr>
        <w:t>CEER) 2016, uključujući razmatranje ERRA za 2019. o Odrednicima P</w:t>
      </w:r>
      <w:r w:rsidRPr="00C94895">
        <w:rPr>
          <w:lang w:val="sq-AL"/>
        </w:rPr>
        <w:t>rihoda OPS-a i O</w:t>
      </w:r>
      <w:r>
        <w:rPr>
          <w:lang w:val="sq-AL"/>
        </w:rPr>
        <w:t>DS-a</w:t>
      </w:r>
      <w:r w:rsidRPr="00CC5249">
        <w:rPr>
          <w:rStyle w:val="FootnoteReference"/>
          <w:lang w:val="sq-AL"/>
        </w:rPr>
        <w:footnoteReference w:id="8"/>
      </w:r>
      <w:r>
        <w:rPr>
          <w:lang w:val="sq-AL"/>
        </w:rPr>
        <w:t xml:space="preserve"> i objavljivanje CEER-a za Regulatorne O</w:t>
      </w:r>
      <w:r w:rsidRPr="00C94895">
        <w:rPr>
          <w:lang w:val="sq-AL"/>
        </w:rPr>
        <w:t>kvi</w:t>
      </w:r>
      <w:r>
        <w:rPr>
          <w:lang w:val="sq-AL"/>
        </w:rPr>
        <w:t xml:space="preserve">re za Evropske </w:t>
      </w:r>
      <w:r w:rsidRPr="00C94895">
        <w:rPr>
          <w:lang w:val="sq-AL"/>
        </w:rPr>
        <w:t xml:space="preserve">Mreže </w:t>
      </w:r>
      <w:r>
        <w:rPr>
          <w:lang w:val="sq-AL"/>
        </w:rPr>
        <w:lastRenderedPageBreak/>
        <w:t>Energije</w:t>
      </w:r>
      <w:r w:rsidR="0075093C" w:rsidRPr="00CC5249">
        <w:rPr>
          <w:rStyle w:val="FootnoteReference"/>
          <w:lang w:val="sq-AL"/>
        </w:rPr>
        <w:footnoteReference w:id="9"/>
      </w:r>
      <w:r w:rsidR="0075093C" w:rsidRPr="00CC5249">
        <w:rPr>
          <w:lang w:val="sq-AL"/>
        </w:rPr>
        <w:t xml:space="preserve"> </w:t>
      </w:r>
      <w:r>
        <w:rPr>
          <w:lang w:val="sq-AL"/>
        </w:rPr>
        <w:t>objavljeno iste godine. Iako RUE shvata</w:t>
      </w:r>
      <w:r w:rsidRPr="00C94895">
        <w:rPr>
          <w:lang w:val="sq-AL"/>
        </w:rPr>
        <w:t xml:space="preserve"> tvrdnju da efekat tehnološkog napretka utiče </w:t>
      </w:r>
      <w:r>
        <w:rPr>
          <w:lang w:val="sq-AL"/>
        </w:rPr>
        <w:t>dugove</w:t>
      </w:r>
      <w:r>
        <w:rPr>
          <w:rFonts w:cstheme="minorHAnsi"/>
          <w:lang w:val="sq-AL"/>
        </w:rPr>
        <w:t>č</w:t>
      </w:r>
      <w:r>
        <w:rPr>
          <w:lang w:val="sq-AL"/>
        </w:rPr>
        <w:t xml:space="preserve">nost </w:t>
      </w:r>
      <w:r w:rsidRPr="00C94895">
        <w:rPr>
          <w:lang w:val="sq-AL"/>
        </w:rPr>
        <w:t>sredstava, u gore navedenim regulatornim primerima nisu pronađeni ubedljivi do</w:t>
      </w:r>
      <w:r>
        <w:rPr>
          <w:lang w:val="sq-AL"/>
        </w:rPr>
        <w:t>kazi da su regulatori smanjili dugove</w:t>
      </w:r>
      <w:r>
        <w:rPr>
          <w:rFonts w:cstheme="minorHAnsi"/>
          <w:lang w:val="sq-AL"/>
        </w:rPr>
        <w:t>č</w:t>
      </w:r>
      <w:r>
        <w:rPr>
          <w:lang w:val="sq-AL"/>
        </w:rPr>
        <w:t>nost</w:t>
      </w:r>
      <w:r w:rsidRPr="00C94895">
        <w:rPr>
          <w:lang w:val="sq-AL"/>
        </w:rPr>
        <w:t xml:space="preserve"> IT sredstava da bi odrazili ovaj razvoj.</w:t>
      </w:r>
    </w:p>
    <w:p w:rsidR="0075093C" w:rsidRDefault="00C94895" w:rsidP="005F0EEB">
      <w:pPr>
        <w:jc w:val="both"/>
        <w:rPr>
          <w:lang w:val="sq-AL"/>
        </w:rPr>
      </w:pPr>
      <w:r w:rsidRPr="00C94895">
        <w:rPr>
          <w:lang w:val="sq-AL"/>
        </w:rPr>
        <w:t xml:space="preserve">U njegovoj proceni kategorizacije sredstava </w:t>
      </w:r>
      <w:r w:rsidR="009207D5">
        <w:rPr>
          <w:lang w:val="sq-AL"/>
        </w:rPr>
        <w:t>i predlogu za njihovu du</w:t>
      </w:r>
      <w:r>
        <w:rPr>
          <w:lang w:val="sq-AL"/>
        </w:rPr>
        <w:t>gove</w:t>
      </w:r>
      <w:r>
        <w:rPr>
          <w:rFonts w:cstheme="minorHAnsi"/>
          <w:lang w:val="sq-AL"/>
        </w:rPr>
        <w:t>č</w:t>
      </w:r>
      <w:r>
        <w:rPr>
          <w:lang w:val="sq-AL"/>
        </w:rPr>
        <w:t>nost</w:t>
      </w:r>
      <w:r w:rsidR="009207D5">
        <w:rPr>
          <w:lang w:val="sq-AL"/>
        </w:rPr>
        <w:t>i</w:t>
      </w:r>
      <w:r w:rsidRPr="00C94895">
        <w:rPr>
          <w:lang w:val="sq-AL"/>
        </w:rPr>
        <w:t>, malo je uporedivih informacija za ovaj segment industrije (pružanje univerzalne usluge). Stoga, kao glavni izvor za klasifikac</w:t>
      </w:r>
      <w:r>
        <w:rPr>
          <w:lang w:val="sq-AL"/>
        </w:rPr>
        <w:t>iju sredstava</w:t>
      </w:r>
      <w:r w:rsidRPr="00C94895">
        <w:rPr>
          <w:lang w:val="sq-AL"/>
        </w:rPr>
        <w:t xml:space="preserve"> u grupe i predlaganje njihove dugovečnosti, RUE</w:t>
      </w:r>
      <w:r>
        <w:rPr>
          <w:lang w:val="sq-AL"/>
        </w:rPr>
        <w:t xml:space="preserve"> je uzeo u obzir nedavno razmatranje</w:t>
      </w:r>
      <w:r w:rsidRPr="00C94895">
        <w:rPr>
          <w:lang w:val="sq-AL"/>
        </w:rPr>
        <w:t xml:space="preserve"> koji se odnosi na kate</w:t>
      </w:r>
      <w:r>
        <w:rPr>
          <w:lang w:val="sq-AL"/>
        </w:rPr>
        <w:t>gorizaciju i dugovečnost sredstava Operatora Prenosnog Sistema i Operatora Distributivnog S</w:t>
      </w:r>
      <w:r w:rsidRPr="00C94895">
        <w:rPr>
          <w:lang w:val="sq-AL"/>
        </w:rPr>
        <w:t>istema.</w:t>
      </w:r>
      <w:r>
        <w:rPr>
          <w:lang w:val="sq-AL"/>
        </w:rPr>
        <w:t xml:space="preserve"> Tokom ovog razmatranja, RUE je uzeo u obzir sredstva</w:t>
      </w:r>
      <w:r w:rsidRPr="00C94895">
        <w:rPr>
          <w:lang w:val="sq-AL"/>
        </w:rPr>
        <w:t xml:space="preserve"> koja ima analogije sa kategorijama </w:t>
      </w:r>
      <w:r>
        <w:rPr>
          <w:lang w:val="sq-AL"/>
        </w:rPr>
        <w:t>sredstava Snabdeva</w:t>
      </w:r>
      <w:r>
        <w:rPr>
          <w:rFonts w:cstheme="minorHAnsi"/>
          <w:lang w:val="sq-AL"/>
        </w:rPr>
        <w:t>č</w:t>
      </w:r>
      <w:r>
        <w:rPr>
          <w:lang w:val="sq-AL"/>
        </w:rPr>
        <w:t xml:space="preserve">a. </w:t>
      </w:r>
      <w:r w:rsidRPr="00C94895">
        <w:rPr>
          <w:lang w:val="sq-AL"/>
        </w:rPr>
        <w:t>Na osnovu gore navedenog, RUE predlaže kategorizaciju i dug</w:t>
      </w:r>
      <w:r>
        <w:rPr>
          <w:lang w:val="sq-AL"/>
        </w:rPr>
        <w:t>ovečnost kao u sledećoj tabeli</w:t>
      </w:r>
      <w:r w:rsidR="0075093C" w:rsidRPr="00450894">
        <w:rPr>
          <w:lang w:val="sq-AL"/>
        </w:rPr>
        <w:t>:</w:t>
      </w:r>
    </w:p>
    <w:p w:rsidR="0075093C" w:rsidRPr="005F0EEB" w:rsidRDefault="0075093C" w:rsidP="0075093C">
      <w:pPr>
        <w:pStyle w:val="Caption"/>
        <w:rPr>
          <w:lang w:val="sq-AL"/>
        </w:rPr>
      </w:pPr>
      <w:r w:rsidRPr="005F0EEB">
        <w:rPr>
          <w:lang w:val="sq-AL"/>
        </w:rPr>
        <w:t xml:space="preserve">Tabela  </w:t>
      </w:r>
      <w:r w:rsidRPr="005F0EEB">
        <w:rPr>
          <w:lang w:val="sq-AL"/>
        </w:rPr>
        <w:fldChar w:fldCharType="begin"/>
      </w:r>
      <w:r w:rsidRPr="005F0EEB">
        <w:rPr>
          <w:lang w:val="sq-AL"/>
        </w:rPr>
        <w:instrText xml:space="preserve"> SEQ Tabela_ \* ARABIC </w:instrText>
      </w:r>
      <w:r w:rsidRPr="005F0EEB">
        <w:rPr>
          <w:lang w:val="sq-AL"/>
        </w:rPr>
        <w:fldChar w:fldCharType="separate"/>
      </w:r>
      <w:r w:rsidR="00AC532D">
        <w:rPr>
          <w:noProof/>
          <w:lang w:val="sq-AL"/>
        </w:rPr>
        <w:t>15</w:t>
      </w:r>
      <w:r w:rsidRPr="005F0EEB">
        <w:rPr>
          <w:lang w:val="sq-AL"/>
        </w:rPr>
        <w:fldChar w:fldCharType="end"/>
      </w:r>
      <w:r w:rsidRPr="005F0EEB">
        <w:rPr>
          <w:lang w:val="sq-AL"/>
        </w:rPr>
        <w:t xml:space="preserve"> </w:t>
      </w:r>
      <w:r w:rsidR="00C94895">
        <w:rPr>
          <w:lang w:val="sq-AL"/>
        </w:rPr>
        <w:t xml:space="preserve">Predlog RUE-a za </w:t>
      </w:r>
      <w:r w:rsidR="00C94895" w:rsidRPr="00E33A41">
        <w:rPr>
          <w:i w:val="0"/>
          <w:lang w:val="sq-AL"/>
        </w:rPr>
        <w:t>Kate</w:t>
      </w:r>
      <w:r w:rsidR="00C94895">
        <w:rPr>
          <w:i w:val="0"/>
          <w:lang w:val="sq-AL"/>
        </w:rPr>
        <w:t>gorizaciju i dugovečnost sredstava</w:t>
      </w:r>
      <w:r w:rsidR="00C94895" w:rsidRPr="005F0EEB">
        <w:rPr>
          <w:lang w:val="sq-AL"/>
        </w:rPr>
        <w:t xml:space="preserve"> </w:t>
      </w: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4A0" w:firstRow="1" w:lastRow="0" w:firstColumn="1" w:lastColumn="0" w:noHBand="0" w:noVBand="1"/>
      </w:tblPr>
      <w:tblGrid>
        <w:gridCol w:w="567"/>
        <w:gridCol w:w="7158"/>
        <w:gridCol w:w="1380"/>
      </w:tblGrid>
      <w:tr w:rsidR="0075093C" w:rsidRPr="00450894" w:rsidTr="007E45BE">
        <w:tc>
          <w:tcPr>
            <w:tcW w:w="567" w:type="dxa"/>
            <w:shd w:val="clear" w:color="auto" w:fill="003366"/>
          </w:tcPr>
          <w:p w:rsidR="0075093C" w:rsidRPr="00450894" w:rsidRDefault="0075093C" w:rsidP="0075093C">
            <w:pPr>
              <w:spacing w:before="60" w:after="60"/>
              <w:jc w:val="center"/>
              <w:rPr>
                <w:lang w:val="sq-AL"/>
              </w:rPr>
            </w:pPr>
          </w:p>
        </w:tc>
        <w:tc>
          <w:tcPr>
            <w:tcW w:w="7158" w:type="dxa"/>
            <w:shd w:val="clear" w:color="auto" w:fill="003366"/>
          </w:tcPr>
          <w:p w:rsidR="0075093C" w:rsidRPr="00450894" w:rsidRDefault="00C94895" w:rsidP="0075093C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Sredstva</w:t>
            </w:r>
          </w:p>
        </w:tc>
        <w:tc>
          <w:tcPr>
            <w:tcW w:w="1380" w:type="dxa"/>
            <w:shd w:val="clear" w:color="auto" w:fill="003366"/>
          </w:tcPr>
          <w:p w:rsidR="0075093C" w:rsidRPr="00450894" w:rsidRDefault="00C94895" w:rsidP="0075093C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Dugove</w:t>
            </w:r>
            <w:r>
              <w:rPr>
                <w:rFonts w:cstheme="minorHAnsi"/>
                <w:lang w:val="sq-AL"/>
              </w:rPr>
              <w:t>č</w:t>
            </w:r>
            <w:r>
              <w:rPr>
                <w:lang w:val="sq-AL"/>
              </w:rPr>
              <w:t>nost Sredstva (godi</w:t>
            </w:r>
            <w:r>
              <w:rPr>
                <w:rFonts w:cstheme="minorHAnsi"/>
                <w:lang w:val="sq-AL"/>
              </w:rPr>
              <w:t>š</w:t>
            </w:r>
            <w:r>
              <w:rPr>
                <w:lang w:val="sq-AL"/>
              </w:rPr>
              <w:t>nje</w:t>
            </w:r>
            <w:r w:rsidR="0075093C" w:rsidRPr="00450894">
              <w:rPr>
                <w:lang w:val="sq-AL"/>
              </w:rPr>
              <w:t>)</w:t>
            </w:r>
          </w:p>
        </w:tc>
      </w:tr>
      <w:tr w:rsidR="0075093C" w:rsidRPr="00450894" w:rsidTr="007E45BE">
        <w:tc>
          <w:tcPr>
            <w:tcW w:w="567" w:type="dxa"/>
            <w:shd w:val="clear" w:color="auto" w:fill="auto"/>
          </w:tcPr>
          <w:p w:rsidR="0075093C" w:rsidRPr="00CC5249" w:rsidRDefault="0075093C" w:rsidP="0075093C">
            <w:pPr>
              <w:spacing w:before="60" w:after="60"/>
              <w:rPr>
                <w:lang w:val="sq-AL"/>
              </w:rPr>
            </w:pPr>
            <w:r w:rsidRPr="00CC5249">
              <w:rPr>
                <w:lang w:val="sq-AL"/>
              </w:rPr>
              <w:t>I</w:t>
            </w:r>
          </w:p>
        </w:tc>
        <w:tc>
          <w:tcPr>
            <w:tcW w:w="7158" w:type="dxa"/>
            <w:shd w:val="clear" w:color="auto" w:fill="auto"/>
          </w:tcPr>
          <w:p w:rsidR="0075093C" w:rsidRPr="00B26335" w:rsidRDefault="00C94895" w:rsidP="00C94895">
            <w:pPr>
              <w:tabs>
                <w:tab w:val="left" w:pos="2640"/>
              </w:tabs>
              <w:spacing w:before="60" w:after="60"/>
              <w:rPr>
                <w:lang w:val="sq-AL"/>
              </w:rPr>
            </w:pPr>
            <w:r w:rsidRPr="00C94895">
              <w:rPr>
                <w:lang w:val="sq-AL"/>
              </w:rPr>
              <w:t>Nameštaj, kancelarijska oprema</w:t>
            </w:r>
            <w:r>
              <w:rPr>
                <w:lang w:val="sq-AL"/>
              </w:rPr>
              <w:tab/>
            </w:r>
          </w:p>
        </w:tc>
        <w:tc>
          <w:tcPr>
            <w:tcW w:w="1380" w:type="dxa"/>
            <w:shd w:val="clear" w:color="auto" w:fill="auto"/>
          </w:tcPr>
          <w:p w:rsidR="0075093C" w:rsidRPr="00B1408C" w:rsidRDefault="0075093C" w:rsidP="0075093C">
            <w:pPr>
              <w:spacing w:before="60" w:after="60"/>
              <w:jc w:val="center"/>
              <w:rPr>
                <w:lang w:val="sq-AL"/>
              </w:rPr>
            </w:pPr>
            <w:r w:rsidRPr="00B1408C">
              <w:rPr>
                <w:lang w:val="sq-AL"/>
              </w:rPr>
              <w:t>7</w:t>
            </w:r>
          </w:p>
        </w:tc>
      </w:tr>
      <w:tr w:rsidR="0075093C" w:rsidRPr="00450894" w:rsidTr="007E45BE">
        <w:tc>
          <w:tcPr>
            <w:tcW w:w="567" w:type="dxa"/>
            <w:shd w:val="clear" w:color="auto" w:fill="auto"/>
          </w:tcPr>
          <w:p w:rsidR="0075093C" w:rsidRPr="00CC5249" w:rsidRDefault="0075093C" w:rsidP="0075093C">
            <w:pPr>
              <w:spacing w:before="60" w:after="60"/>
              <w:rPr>
                <w:lang w:val="sq-AL"/>
              </w:rPr>
            </w:pPr>
            <w:r w:rsidRPr="00CC5249">
              <w:rPr>
                <w:lang w:val="sq-AL"/>
              </w:rPr>
              <w:t>II</w:t>
            </w:r>
          </w:p>
        </w:tc>
        <w:tc>
          <w:tcPr>
            <w:tcW w:w="7158" w:type="dxa"/>
            <w:shd w:val="clear" w:color="auto" w:fill="auto"/>
          </w:tcPr>
          <w:p w:rsidR="0075093C" w:rsidRPr="00B26335" w:rsidRDefault="007E45BE" w:rsidP="007E45BE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 xml:space="preserve">Radna oprema, </w:t>
            </w:r>
            <w:r w:rsidR="009207D5">
              <w:rPr>
                <w:lang w:val="sq-AL"/>
              </w:rPr>
              <w:t>aparati i oprema za očitavanje</w:t>
            </w:r>
            <w:r>
              <w:rPr>
                <w:lang w:val="sq-AL"/>
              </w:rPr>
              <w:t>, vozila, računari, IT</w:t>
            </w:r>
            <w:r w:rsidR="00C94895" w:rsidRPr="00C94895">
              <w:rPr>
                <w:lang w:val="sq-AL"/>
              </w:rPr>
              <w:t xml:space="preserve"> oprema i softver</w:t>
            </w:r>
            <w:r>
              <w:rPr>
                <w:lang w:val="sq-AL"/>
              </w:rPr>
              <w:t>i</w:t>
            </w:r>
            <w:r w:rsidR="00C94895" w:rsidRPr="00C94895">
              <w:rPr>
                <w:lang w:val="sq-AL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75093C" w:rsidRPr="00B1408C" w:rsidRDefault="0075093C" w:rsidP="0075093C">
            <w:pPr>
              <w:spacing w:before="60" w:after="60"/>
              <w:jc w:val="center"/>
              <w:rPr>
                <w:lang w:val="sq-AL"/>
              </w:rPr>
            </w:pPr>
            <w:r w:rsidRPr="00B1408C">
              <w:rPr>
                <w:lang w:val="sq-AL"/>
              </w:rPr>
              <w:t>5</w:t>
            </w:r>
          </w:p>
        </w:tc>
      </w:tr>
    </w:tbl>
    <w:p w:rsidR="0075093C" w:rsidRDefault="007E45BE" w:rsidP="007E45BE">
      <w:pPr>
        <w:pStyle w:val="Heading1"/>
      </w:pPr>
      <w:bookmarkStart w:id="18" w:name="_Toc88226467"/>
      <w:r w:rsidRPr="007E45BE">
        <w:rPr>
          <w:lang w:val="sq-AL"/>
        </w:rPr>
        <w:t xml:space="preserve">Predlog Ulaznih Vrednosti i Operativnih Troškova </w:t>
      </w:r>
      <w:bookmarkEnd w:id="18"/>
    </w:p>
    <w:p w:rsidR="0075093C" w:rsidRDefault="000D1DB0" w:rsidP="005F0EEB">
      <w:pPr>
        <w:jc w:val="both"/>
        <w:rPr>
          <w:lang w:val="sq-AL"/>
        </w:rPr>
      </w:pPr>
      <w:r>
        <w:rPr>
          <w:lang w:val="sq-AL"/>
        </w:rPr>
        <w:t xml:space="preserve">U sledećoj tabeli </w:t>
      </w:r>
      <w:r w:rsidR="007E45BE">
        <w:rPr>
          <w:lang w:val="sq-AL"/>
        </w:rPr>
        <w:t>je predstavljen</w:t>
      </w:r>
      <w:r w:rsidR="007E45BE" w:rsidRPr="007E45BE">
        <w:rPr>
          <w:lang w:val="sq-AL"/>
        </w:rPr>
        <w:t xml:space="preserve"> predlog RUE</w:t>
      </w:r>
      <w:r w:rsidR="007E45BE">
        <w:rPr>
          <w:lang w:val="sq-AL"/>
        </w:rPr>
        <w:t>-a za Ulazne Vrednosti i Operativne T</w:t>
      </w:r>
      <w:r w:rsidR="007E45BE" w:rsidRPr="007E45BE">
        <w:rPr>
          <w:lang w:val="sq-AL"/>
        </w:rPr>
        <w:t xml:space="preserve">roškove. </w:t>
      </w:r>
    </w:p>
    <w:p w:rsidR="0075093C" w:rsidRPr="005F0EEB" w:rsidRDefault="0075093C" w:rsidP="0075093C">
      <w:pPr>
        <w:pStyle w:val="Caption"/>
        <w:rPr>
          <w:lang w:val="sq-AL"/>
        </w:rPr>
      </w:pPr>
      <w:r w:rsidRPr="005F0EEB">
        <w:rPr>
          <w:lang w:val="sq-AL"/>
        </w:rPr>
        <w:t xml:space="preserve">Tabela  </w:t>
      </w:r>
      <w:r w:rsidRPr="005F0EEB">
        <w:rPr>
          <w:lang w:val="sq-AL"/>
        </w:rPr>
        <w:fldChar w:fldCharType="begin"/>
      </w:r>
      <w:r w:rsidRPr="005F0EEB">
        <w:rPr>
          <w:lang w:val="sq-AL"/>
        </w:rPr>
        <w:instrText xml:space="preserve"> SEQ Tabela_ \* ARABIC </w:instrText>
      </w:r>
      <w:r w:rsidRPr="005F0EEB">
        <w:rPr>
          <w:lang w:val="sq-AL"/>
        </w:rPr>
        <w:fldChar w:fldCharType="separate"/>
      </w:r>
      <w:r w:rsidR="00AC532D">
        <w:rPr>
          <w:noProof/>
          <w:lang w:val="sq-AL"/>
        </w:rPr>
        <w:t>16</w:t>
      </w:r>
      <w:r w:rsidRPr="005F0EEB">
        <w:rPr>
          <w:lang w:val="sq-AL"/>
        </w:rPr>
        <w:fldChar w:fldCharType="end"/>
      </w:r>
      <w:r w:rsidRPr="005F0EEB">
        <w:rPr>
          <w:lang w:val="sq-AL"/>
        </w:rPr>
        <w:t xml:space="preserve"> </w:t>
      </w:r>
      <w:r w:rsidR="007E45BE">
        <w:rPr>
          <w:lang w:val="sq-AL"/>
        </w:rPr>
        <w:t>Predlog RUE-a za Ulazne Vrednosti i Operativne T</w:t>
      </w:r>
      <w:r w:rsidR="007E45BE" w:rsidRPr="007E45BE">
        <w:rPr>
          <w:lang w:val="sq-AL"/>
        </w:rPr>
        <w:t>roškove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87"/>
        <w:gridCol w:w="879"/>
        <w:gridCol w:w="725"/>
        <w:gridCol w:w="725"/>
        <w:gridCol w:w="724"/>
      </w:tblGrid>
      <w:tr w:rsidR="0075093C" w:rsidRPr="00756146" w:rsidTr="00AF6D35">
        <w:trPr>
          <w:trHeight w:val="269"/>
          <w:jc w:val="center"/>
        </w:trPr>
        <w:tc>
          <w:tcPr>
            <w:tcW w:w="337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44061"/>
            <w:vAlign w:val="center"/>
            <w:hideMark/>
          </w:tcPr>
          <w:p w:rsidR="0075093C" w:rsidRPr="00756146" w:rsidRDefault="000D1DB0" w:rsidP="0075093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FFFF"/>
                <w:sz w:val="20"/>
                <w:szCs w:val="20"/>
                <w:lang w:val="sq-AL" w:eastAsia="en-GB"/>
              </w:rPr>
            </w:pPr>
            <w:r w:rsidRPr="000D1DB0">
              <w:rPr>
                <w:sz w:val="20"/>
                <w:szCs w:val="20"/>
                <w:lang w:val="sq-AL"/>
              </w:rPr>
              <w:t>Predlog RUE-a za Ulazne</w:t>
            </w:r>
            <w:r>
              <w:rPr>
                <w:sz w:val="20"/>
                <w:szCs w:val="20"/>
                <w:lang w:val="sq-AL"/>
              </w:rPr>
              <w:t xml:space="preserve"> </w:t>
            </w:r>
            <w:r w:rsidRPr="000D1DB0">
              <w:rPr>
                <w:sz w:val="20"/>
                <w:szCs w:val="20"/>
                <w:lang w:val="sq-AL"/>
              </w:rPr>
              <w:t>Vrednosti i Operativne Troškove za</w:t>
            </w:r>
            <w:r w:rsidRPr="00756146">
              <w:rPr>
                <w:rFonts w:eastAsia="Times New Roman" w:cstheme="minorHAnsi"/>
                <w:b/>
                <w:bCs/>
                <w:i/>
                <w:iCs/>
                <w:color w:val="FFFFFF"/>
                <w:sz w:val="20"/>
                <w:szCs w:val="20"/>
                <w:lang w:val="sq-AL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FFFFFF"/>
                <w:sz w:val="20"/>
                <w:szCs w:val="20"/>
                <w:lang w:val="sq-AL" w:eastAsia="en-GB"/>
              </w:rPr>
              <w:t>SUU</w:t>
            </w:r>
          </w:p>
        </w:tc>
        <w:tc>
          <w:tcPr>
            <w:tcW w:w="431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44061"/>
            <w:vAlign w:val="center"/>
            <w:hideMark/>
          </w:tcPr>
          <w:p w:rsidR="0075093C" w:rsidRPr="00756146" w:rsidRDefault="000D1DB0" w:rsidP="0075093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sq-AL" w:eastAsia="en-GB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sq-AL" w:eastAsia="en-GB"/>
              </w:rPr>
              <w:t>Jedinica</w:t>
            </w:r>
          </w:p>
        </w:tc>
        <w:tc>
          <w:tcPr>
            <w:tcW w:w="398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44061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sq-AL" w:eastAsia="en-GB"/>
              </w:rPr>
              <w:t>2022</w:t>
            </w:r>
          </w:p>
        </w:tc>
        <w:tc>
          <w:tcPr>
            <w:tcW w:w="398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44061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sq-AL" w:eastAsia="en-GB"/>
              </w:rPr>
              <w:t>2023</w:t>
            </w:r>
          </w:p>
        </w:tc>
        <w:tc>
          <w:tcPr>
            <w:tcW w:w="39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44061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sq-AL" w:eastAsia="en-GB"/>
              </w:rPr>
              <w:t>2024</w:t>
            </w:r>
          </w:p>
        </w:tc>
      </w:tr>
      <w:tr w:rsidR="0075093C" w:rsidRPr="00756146" w:rsidTr="00AF6D35">
        <w:trPr>
          <w:trHeight w:val="269"/>
          <w:jc w:val="center"/>
        </w:trPr>
        <w:tc>
          <w:tcPr>
            <w:tcW w:w="337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FFFF"/>
                <w:sz w:val="20"/>
                <w:szCs w:val="20"/>
                <w:lang w:val="sq-AL" w:eastAsia="en-GB"/>
              </w:rPr>
            </w:pPr>
          </w:p>
        </w:tc>
        <w:tc>
          <w:tcPr>
            <w:tcW w:w="431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sq-AL" w:eastAsia="en-GB"/>
              </w:rPr>
            </w:pPr>
          </w:p>
        </w:tc>
        <w:tc>
          <w:tcPr>
            <w:tcW w:w="398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sq-AL" w:eastAsia="en-GB"/>
              </w:rPr>
            </w:pPr>
          </w:p>
        </w:tc>
        <w:tc>
          <w:tcPr>
            <w:tcW w:w="398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sq-AL" w:eastAsia="en-GB"/>
              </w:rPr>
            </w:pPr>
          </w:p>
        </w:tc>
        <w:tc>
          <w:tcPr>
            <w:tcW w:w="397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sq-AL" w:eastAsia="en-GB"/>
              </w:rPr>
            </w:pPr>
          </w:p>
        </w:tc>
      </w:tr>
      <w:tr w:rsidR="0075093C" w:rsidRPr="00756146" w:rsidTr="00AF6D35">
        <w:trPr>
          <w:trHeight w:val="164"/>
          <w:jc w:val="center"/>
        </w:trPr>
        <w:tc>
          <w:tcPr>
            <w:tcW w:w="3376" w:type="pct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A74FA9" w:rsidP="00A74F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A74FA9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Maloprodajne marže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2.54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2.54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2.54</w:t>
            </w:r>
          </w:p>
        </w:tc>
      </w:tr>
      <w:tr w:rsidR="0075093C" w:rsidRPr="00756146" w:rsidTr="00AF6D35">
        <w:trPr>
          <w:trHeight w:val="164"/>
          <w:jc w:val="center"/>
        </w:trPr>
        <w:tc>
          <w:tcPr>
            <w:tcW w:w="3376" w:type="pct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A74FA9" w:rsidP="007509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q-AL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sq-AL" w:eastAsia="en-GB"/>
              </w:rPr>
              <w:t>Loš dug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sz w:val="20"/>
                <w:szCs w:val="20"/>
                <w:lang w:val="sq-AL" w:eastAsia="en-GB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sz w:val="20"/>
                <w:szCs w:val="20"/>
                <w:lang w:val="sq-AL" w:eastAsia="en-GB"/>
              </w:rPr>
              <w:t>2.4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sz w:val="20"/>
                <w:szCs w:val="20"/>
                <w:lang w:val="sq-AL" w:eastAsia="en-GB"/>
              </w:rPr>
              <w:t>2.2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sz w:val="20"/>
                <w:szCs w:val="20"/>
                <w:lang w:val="sq-AL" w:eastAsia="en-GB"/>
              </w:rPr>
              <w:t>2.0</w:t>
            </w:r>
          </w:p>
        </w:tc>
      </w:tr>
      <w:tr w:rsidR="0075093C" w:rsidRPr="00756146" w:rsidTr="00AF6D35">
        <w:trPr>
          <w:trHeight w:val="164"/>
          <w:jc w:val="center"/>
        </w:trPr>
        <w:tc>
          <w:tcPr>
            <w:tcW w:w="3376" w:type="pct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A74FA9" w:rsidP="007509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A74FA9">
              <w:rPr>
                <w:rFonts w:eastAsia="Calibri" w:cstheme="minorHAnsi"/>
                <w:color w:val="000000"/>
                <w:sz w:val="20"/>
                <w:szCs w:val="20"/>
                <w:lang w:val="sq-AL" w:eastAsia="en-GB"/>
              </w:rPr>
              <w:t>Faktor podele neravnoteže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100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100</w:t>
            </w:r>
          </w:p>
        </w:tc>
      </w:tr>
      <w:tr w:rsidR="0075093C" w:rsidRPr="00756146" w:rsidTr="00AF6D35">
        <w:trPr>
          <w:trHeight w:val="164"/>
          <w:jc w:val="center"/>
        </w:trPr>
        <w:tc>
          <w:tcPr>
            <w:tcW w:w="3376" w:type="pct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A74FA9" w:rsidP="007509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A74FA9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 xml:space="preserve">Efikasni operativni troškovi </w:t>
            </w:r>
            <w:r w:rsidR="0075093C"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€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€000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5,167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5,187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5,204</w:t>
            </w:r>
          </w:p>
        </w:tc>
      </w:tr>
      <w:tr w:rsidR="0075093C" w:rsidRPr="00756146" w:rsidTr="00AF6D35">
        <w:trPr>
          <w:trHeight w:val="164"/>
          <w:jc w:val="center"/>
        </w:trPr>
        <w:tc>
          <w:tcPr>
            <w:tcW w:w="3376" w:type="pct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A74FA9" w:rsidP="007509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Faktor efikasnosti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0.5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0.5</w:t>
            </w:r>
          </w:p>
        </w:tc>
      </w:tr>
      <w:tr w:rsidR="0075093C" w:rsidRPr="00756146" w:rsidTr="00AF6D35">
        <w:trPr>
          <w:trHeight w:val="502"/>
          <w:jc w:val="center"/>
        </w:trPr>
        <w:tc>
          <w:tcPr>
            <w:tcW w:w="3376" w:type="pct"/>
            <w:vMerge w:val="restart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A74FA9" w:rsidP="007509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Kategorizacija i dugovečnost Sredstava</w:t>
            </w:r>
            <w:r w:rsidR="0075093C"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:</w:t>
            </w:r>
          </w:p>
          <w:p w:rsidR="0075093C" w:rsidRPr="00756146" w:rsidRDefault="00A74FA9" w:rsidP="00A74FA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2" w:hanging="27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sq-AL" w:eastAsia="en-GB"/>
              </w:rPr>
            </w:pPr>
            <w:r w:rsidRPr="00A74FA9">
              <w:rPr>
                <w:rFonts w:asciiTheme="minorHAnsi" w:hAnsiTheme="minorHAnsi" w:cstheme="minorHAnsi"/>
                <w:color w:val="000000"/>
                <w:sz w:val="20"/>
                <w:szCs w:val="20"/>
                <w:lang w:val="sq-AL" w:eastAsia="en-GB"/>
              </w:rPr>
              <w:t>Nameštaj, kancelarijska oprema</w:t>
            </w:r>
            <w:r w:rsidR="0075093C" w:rsidRPr="00756146">
              <w:rPr>
                <w:rFonts w:asciiTheme="minorHAnsi" w:hAnsiTheme="minorHAnsi" w:cstheme="minorHAnsi"/>
                <w:color w:val="000000"/>
                <w:sz w:val="20"/>
                <w:szCs w:val="20"/>
                <w:lang w:val="sq-AL" w:eastAsia="en-GB"/>
              </w:rPr>
              <w:t xml:space="preserve">; </w:t>
            </w:r>
          </w:p>
          <w:p w:rsidR="0075093C" w:rsidRPr="00A74FA9" w:rsidRDefault="00A74FA9" w:rsidP="00A74FA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0" w:hanging="27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sq-AL" w:eastAsia="en-GB"/>
              </w:rPr>
            </w:pPr>
            <w:r w:rsidRPr="00A74FA9">
              <w:rPr>
                <w:sz w:val="20"/>
                <w:szCs w:val="20"/>
                <w:lang w:val="sq-AL"/>
              </w:rPr>
              <w:t xml:space="preserve">Radna oprema, aparati i oprema za </w:t>
            </w:r>
            <w:r w:rsidR="0081017E" w:rsidRPr="0081017E">
              <w:rPr>
                <w:sz w:val="20"/>
                <w:szCs w:val="20"/>
                <w:lang w:val="sq-AL"/>
              </w:rPr>
              <w:t>očitavanje</w:t>
            </w:r>
            <w:r w:rsidRPr="00A74FA9">
              <w:rPr>
                <w:sz w:val="20"/>
                <w:szCs w:val="20"/>
                <w:lang w:val="sq-AL"/>
              </w:rPr>
              <w:t>, vozila, računari, IT oprema i softveri</w:t>
            </w:r>
            <w:r>
              <w:rPr>
                <w:sz w:val="20"/>
                <w:szCs w:val="20"/>
                <w:lang w:val="sq-AL"/>
              </w:rPr>
              <w:t>.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A74FA9" w:rsidP="007509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Godine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7</w:t>
            </w:r>
          </w:p>
        </w:tc>
      </w:tr>
      <w:tr w:rsidR="0075093C" w:rsidRPr="00756146" w:rsidTr="00AF6D35">
        <w:trPr>
          <w:trHeight w:val="251"/>
          <w:jc w:val="center"/>
        </w:trPr>
        <w:tc>
          <w:tcPr>
            <w:tcW w:w="3376" w:type="pct"/>
            <w:vMerge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:rsidR="0075093C" w:rsidRPr="00756146" w:rsidRDefault="0075093C" w:rsidP="007509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</w:pPr>
            <w:r w:rsidRPr="00756146">
              <w:rPr>
                <w:rFonts w:eastAsia="Times New Roman" w:cstheme="minorHAnsi"/>
                <w:color w:val="000000"/>
                <w:sz w:val="20"/>
                <w:szCs w:val="20"/>
                <w:lang w:val="sq-AL" w:eastAsia="en-GB"/>
              </w:rPr>
              <w:t>5</w:t>
            </w:r>
          </w:p>
        </w:tc>
      </w:tr>
    </w:tbl>
    <w:p w:rsidR="0075093C" w:rsidRPr="00450894" w:rsidRDefault="0075093C" w:rsidP="0075093C">
      <w:pPr>
        <w:rPr>
          <w:lang w:val="sq-AL"/>
        </w:rPr>
      </w:pPr>
    </w:p>
    <w:p w:rsidR="0075093C" w:rsidRPr="0075093C" w:rsidRDefault="0075093C">
      <w:pPr>
        <w:rPr>
          <w:lang w:val="sq-AL"/>
        </w:rPr>
      </w:pPr>
    </w:p>
    <w:sectPr w:rsidR="0075093C" w:rsidRPr="0075093C" w:rsidSect="00C85B1F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A" w:rsidRDefault="009C134A" w:rsidP="0075093C">
      <w:pPr>
        <w:spacing w:after="0" w:line="240" w:lineRule="auto"/>
      </w:pPr>
      <w:r>
        <w:separator/>
      </w:r>
    </w:p>
  </w:endnote>
  <w:endnote w:type="continuationSeparator" w:id="0">
    <w:p w:rsidR="009C134A" w:rsidRDefault="009C134A" w:rsidP="0075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q-AL"/>
      </w:rPr>
      <w:id w:val="2085035100"/>
      <w:docPartObj>
        <w:docPartGallery w:val="Page Numbers (Bottom of Page)"/>
        <w:docPartUnique/>
      </w:docPartObj>
    </w:sdtPr>
    <w:sdtEndPr/>
    <w:sdtContent>
      <w:sdt>
        <w:sdtPr>
          <w:rPr>
            <w:lang w:val="sq-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62EC" w:rsidRPr="00C85B1F" w:rsidRDefault="007E62EC">
            <w:pPr>
              <w:pStyle w:val="Footer"/>
              <w:jc w:val="right"/>
              <w:rPr>
                <w:lang w:val="sq-AL"/>
              </w:rPr>
            </w:pPr>
            <w:r w:rsidRPr="00C85B1F">
              <w:rPr>
                <w:rFonts w:asciiTheme="minorHAnsi" w:hAnsiTheme="minorHAnsi" w:cstheme="minorHAnsi"/>
                <w:szCs w:val="22"/>
                <w:lang w:val="sq-AL"/>
              </w:rPr>
              <w:t xml:space="preserve">Faqe </w:t>
            </w:r>
            <w:r w:rsidRPr="00C85B1F">
              <w:rPr>
                <w:rFonts w:asciiTheme="minorHAnsi" w:hAnsiTheme="minorHAnsi" w:cstheme="minorHAnsi"/>
                <w:bCs/>
                <w:szCs w:val="22"/>
                <w:lang w:val="sq-AL"/>
              </w:rPr>
              <w:fldChar w:fldCharType="begin"/>
            </w:r>
            <w:r w:rsidRPr="00C85B1F">
              <w:rPr>
                <w:rFonts w:asciiTheme="minorHAnsi" w:hAnsiTheme="minorHAnsi" w:cstheme="minorHAnsi"/>
                <w:bCs/>
                <w:szCs w:val="22"/>
                <w:lang w:val="sq-AL"/>
              </w:rPr>
              <w:instrText xml:space="preserve"> PAGE </w:instrText>
            </w:r>
            <w:r w:rsidRPr="00C85B1F">
              <w:rPr>
                <w:rFonts w:asciiTheme="minorHAnsi" w:hAnsiTheme="minorHAnsi" w:cstheme="minorHAnsi"/>
                <w:bCs/>
                <w:szCs w:val="22"/>
                <w:lang w:val="sq-AL"/>
              </w:rPr>
              <w:fldChar w:fldCharType="separate"/>
            </w:r>
            <w:r w:rsidR="009E6373">
              <w:rPr>
                <w:rFonts w:asciiTheme="minorHAnsi" w:hAnsiTheme="minorHAnsi" w:cstheme="minorHAnsi"/>
                <w:bCs/>
                <w:noProof/>
                <w:szCs w:val="22"/>
                <w:lang w:val="sq-AL"/>
              </w:rPr>
              <w:t>8</w:t>
            </w:r>
            <w:r w:rsidRPr="00C85B1F">
              <w:rPr>
                <w:rFonts w:asciiTheme="minorHAnsi" w:hAnsiTheme="minorHAnsi" w:cstheme="minorHAnsi"/>
                <w:bCs/>
                <w:szCs w:val="22"/>
                <w:lang w:val="sq-AL"/>
              </w:rPr>
              <w:fldChar w:fldCharType="end"/>
            </w:r>
            <w:r w:rsidRPr="00C85B1F">
              <w:rPr>
                <w:rFonts w:asciiTheme="minorHAnsi" w:hAnsiTheme="minorHAnsi" w:cstheme="minorHAnsi"/>
                <w:szCs w:val="22"/>
                <w:lang w:val="sq-AL"/>
              </w:rPr>
              <w:t xml:space="preserve"> nga </w:t>
            </w:r>
            <w:r w:rsidRPr="00C85B1F">
              <w:rPr>
                <w:rFonts w:asciiTheme="minorHAnsi" w:hAnsiTheme="minorHAnsi" w:cstheme="minorHAnsi"/>
                <w:bCs/>
                <w:szCs w:val="22"/>
                <w:lang w:val="sq-AL"/>
              </w:rPr>
              <w:fldChar w:fldCharType="begin"/>
            </w:r>
            <w:r w:rsidRPr="00C85B1F">
              <w:rPr>
                <w:rFonts w:asciiTheme="minorHAnsi" w:hAnsiTheme="minorHAnsi" w:cstheme="minorHAnsi"/>
                <w:bCs/>
                <w:szCs w:val="22"/>
                <w:lang w:val="sq-AL"/>
              </w:rPr>
              <w:instrText xml:space="preserve"> NUMPAGES  </w:instrText>
            </w:r>
            <w:r w:rsidRPr="00C85B1F">
              <w:rPr>
                <w:rFonts w:asciiTheme="minorHAnsi" w:hAnsiTheme="minorHAnsi" w:cstheme="minorHAnsi"/>
                <w:bCs/>
                <w:szCs w:val="22"/>
                <w:lang w:val="sq-AL"/>
              </w:rPr>
              <w:fldChar w:fldCharType="separate"/>
            </w:r>
            <w:r w:rsidR="009E6373">
              <w:rPr>
                <w:rFonts w:asciiTheme="minorHAnsi" w:hAnsiTheme="minorHAnsi" w:cstheme="minorHAnsi"/>
                <w:bCs/>
                <w:noProof/>
                <w:szCs w:val="22"/>
                <w:lang w:val="sq-AL"/>
              </w:rPr>
              <w:t>22</w:t>
            </w:r>
            <w:r w:rsidRPr="00C85B1F">
              <w:rPr>
                <w:rFonts w:asciiTheme="minorHAnsi" w:hAnsiTheme="minorHAnsi" w:cstheme="minorHAnsi"/>
                <w:bCs/>
                <w:szCs w:val="22"/>
                <w:lang w:val="sq-AL"/>
              </w:rPr>
              <w:fldChar w:fldCharType="end"/>
            </w:r>
          </w:p>
        </w:sdtContent>
      </w:sdt>
    </w:sdtContent>
  </w:sdt>
  <w:p w:rsidR="007E62EC" w:rsidRDefault="007E6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C" w:rsidRDefault="007E62EC" w:rsidP="00C85B1F">
    <w:pPr>
      <w:pStyle w:val="Footer"/>
      <w:pBdr>
        <w:top w:val="single" w:sz="4" w:space="1" w:color="4F81BD"/>
      </w:pBdr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>
      <w:rPr>
        <w:rFonts w:ascii="Calibri" w:hAnsi="Calibri"/>
        <w:color w:val="005F91"/>
        <w:sz w:val="18"/>
        <w:szCs w:val="18"/>
      </w:rPr>
      <w:t>Dervish Rozhaja</w:t>
    </w:r>
    <w:r w:rsidRPr="00661073">
      <w:rPr>
        <w:rFonts w:ascii="Calibri" w:hAnsi="Calibri"/>
        <w:color w:val="005F91"/>
        <w:sz w:val="18"/>
        <w:szCs w:val="18"/>
      </w:rPr>
      <w:t xml:space="preserve"> nr. 1</w:t>
    </w:r>
    <w:r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7E62EC" w:rsidRPr="00C85B1F" w:rsidRDefault="007E62EC" w:rsidP="00C85B1F">
    <w:pPr>
      <w:pStyle w:val="Footer"/>
      <w:pBdr>
        <w:top w:val="single" w:sz="4" w:space="1" w:color="4F81BD"/>
      </w:pBdr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Tel: 038 247 615 lok. 101, Fax: 038 247 620, E-mail: info@ero-ks.org, </w:t>
    </w:r>
    <w:r>
      <w:rPr>
        <w:rFonts w:ascii="Calibri" w:hAnsi="Calibri"/>
        <w:color w:val="005F91"/>
        <w:sz w:val="18"/>
        <w:szCs w:val="18"/>
      </w:rPr>
      <w:t>w</w:t>
    </w:r>
    <w:r w:rsidRPr="00661073">
      <w:rPr>
        <w:rFonts w:ascii="Calibri" w:hAnsi="Calibri"/>
        <w:color w:val="005F91"/>
        <w:sz w:val="18"/>
        <w:szCs w:val="18"/>
      </w:rPr>
      <w:t xml:space="preserve">eb: </w:t>
    </w:r>
    <w:r>
      <w:rPr>
        <w:rFonts w:ascii="Calibri" w:hAnsi="Calibri"/>
        <w:color w:val="005F91"/>
        <w:sz w:val="18"/>
        <w:szCs w:val="18"/>
      </w:rPr>
      <w:t>www</w:t>
    </w:r>
    <w:r w:rsidRPr="00661073">
      <w:rPr>
        <w:rFonts w:ascii="Calibri" w:hAnsi="Calibri"/>
        <w:color w:val="005F91"/>
        <w:sz w:val="18"/>
        <w:szCs w:val="18"/>
      </w:rPr>
      <w:t>.ero-ks.org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A" w:rsidRDefault="009C134A" w:rsidP="0075093C">
      <w:pPr>
        <w:spacing w:after="0" w:line="240" w:lineRule="auto"/>
      </w:pPr>
      <w:r>
        <w:separator/>
      </w:r>
    </w:p>
  </w:footnote>
  <w:footnote w:type="continuationSeparator" w:id="0">
    <w:p w:rsidR="009C134A" w:rsidRDefault="009C134A" w:rsidP="0075093C">
      <w:pPr>
        <w:spacing w:after="0" w:line="240" w:lineRule="auto"/>
      </w:pPr>
      <w:r>
        <w:continuationSeparator/>
      </w:r>
    </w:p>
  </w:footnote>
  <w:footnote w:id="1">
    <w:p w:rsidR="007E62EC" w:rsidRPr="001401E6" w:rsidRDefault="007E62EC" w:rsidP="00065BF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Metodologija_SUU-1.pdf (ere.gov.al)</w:t>
        </w:r>
      </w:hyperlink>
      <w:r>
        <w:t xml:space="preserve"> </w:t>
      </w:r>
    </w:p>
  </w:footnote>
  <w:footnote w:id="2">
    <w:p w:rsidR="007E62EC" w:rsidRPr="00FC34BF" w:rsidRDefault="007E62EC" w:rsidP="0075093C">
      <w:pPr>
        <w:pStyle w:val="FootnoteText"/>
        <w:tabs>
          <w:tab w:val="clear" w:pos="288"/>
          <w:tab w:val="left" w:pos="180"/>
        </w:tabs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  <w:t>Komisija za Regulatorne U</w:t>
      </w:r>
      <w:r w:rsidRPr="00DC194A">
        <w:t>sluge</w:t>
      </w:r>
      <w:r>
        <w:t xml:space="preserve">. 2017. </w:t>
      </w:r>
      <w:hyperlink r:id="rId2" w:history="1">
        <w:r>
          <w:rPr>
            <w:rStyle w:val="Hyperlink"/>
          </w:rPr>
          <w:t>Energy Supply Costs: Information Paper</w:t>
        </w:r>
      </w:hyperlink>
      <w:r>
        <w:t xml:space="preserve"> (Komisija za Regulatorne U</w:t>
      </w:r>
      <w:r w:rsidRPr="00DC194A">
        <w:t>sluge</w:t>
      </w:r>
      <w:r w:rsidR="001D178F">
        <w:t xml:space="preserve"> i</w:t>
      </w:r>
      <w:r w:rsidRPr="00DC194A">
        <w:t xml:space="preserve"> Informativni Izveštaj</w:t>
      </w:r>
      <w:r>
        <w:t>)</w:t>
      </w:r>
    </w:p>
  </w:footnote>
  <w:footnote w:id="3">
    <w:p w:rsidR="007E62EC" w:rsidRPr="005C4984" w:rsidRDefault="007E62EC" w:rsidP="007509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EPDK | Enerji Piyasası Düzenleme Kurumu</w:t>
        </w:r>
      </w:hyperlink>
      <w:r>
        <w:t xml:space="preserve">; </w:t>
      </w:r>
      <w:hyperlink r:id="rId4" w:history="1">
        <w:r w:rsidRPr="00307BB2">
          <w:rPr>
            <w:rStyle w:val="Hyperlink"/>
          </w:rPr>
          <w:t>https://www.epdk.gov.tr/Detay/SiteSearch?st=2021-2025</w:t>
        </w:r>
      </w:hyperlink>
      <w:r>
        <w:t xml:space="preserve"> </w:t>
      </w:r>
    </w:p>
  </w:footnote>
  <w:footnote w:id="4">
    <w:p w:rsidR="007E62EC" w:rsidRPr="009324DA" w:rsidRDefault="007E62EC" w:rsidP="0075093C">
      <w:pPr>
        <w:pStyle w:val="FootnoteText"/>
        <w:tabs>
          <w:tab w:val="clear" w:pos="288"/>
        </w:tabs>
        <w:rPr>
          <w:lang w:val="en-US"/>
        </w:rPr>
      </w:pPr>
      <w:r>
        <w:rPr>
          <w:rStyle w:val="FootnoteReference"/>
        </w:rPr>
        <w:footnoteRef/>
      </w:r>
      <w:hyperlink r:id="rId5" w:history="1">
        <w:r>
          <w:rPr>
            <w:rStyle w:val="Hyperlink"/>
          </w:rPr>
          <w:t>USS TARIFF SETTING METHODOLOGY-12.21.2020 (approved).pdf (gnerc.org)</w:t>
        </w:r>
      </w:hyperlink>
      <w:r>
        <w:t xml:space="preserve">; </w:t>
      </w:r>
      <w:hyperlink r:id="rId6" w:history="1">
        <w:r w:rsidRPr="0008623B">
          <w:rPr>
            <w:rStyle w:val="Hyperlink"/>
          </w:rPr>
          <w:t>https://gnerc.org/files/Legal%20Acts%20in%20english/USS%20TARIFF%20SETTING%20METHODOLOGY-12.21.2020%20(approved).pdf</w:t>
        </w:r>
      </w:hyperlink>
      <w:r>
        <w:t xml:space="preserve"> </w:t>
      </w:r>
    </w:p>
  </w:footnote>
  <w:footnote w:id="5">
    <w:p w:rsidR="007E62EC" w:rsidRPr="00993D06" w:rsidRDefault="007E62EC" w:rsidP="007509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HANRE65/2018 (legis.md)</w:t>
        </w:r>
      </w:hyperlink>
      <w:r>
        <w:t xml:space="preserve">; </w:t>
      </w:r>
      <w:hyperlink r:id="rId8" w:history="1">
        <w:r w:rsidRPr="0008623B">
          <w:rPr>
            <w:rStyle w:val="Hyperlink"/>
          </w:rPr>
          <w:t>https://www.legis.md/cautare/getResults?doc_id=103740&amp;lang=ro</w:t>
        </w:r>
      </w:hyperlink>
      <w:r>
        <w:t xml:space="preserve"> </w:t>
      </w:r>
    </w:p>
  </w:footnote>
  <w:footnote w:id="6">
    <w:p w:rsidR="007E62EC" w:rsidRPr="00665ED7" w:rsidRDefault="007E62EC" w:rsidP="007509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sz w:val="18"/>
        </w:rPr>
        <w:t xml:space="preserve"> </w:t>
      </w:r>
      <w:hyperlink r:id="rId9" w:history="1">
        <w:r w:rsidRPr="00665ED7">
          <w:rPr>
            <w:rStyle w:val="Hyperlink"/>
            <w:sz w:val="18"/>
          </w:rPr>
          <w:t>https://www.energy-community.org/dam/jcr:f0feeb6e-96c9-48fd-b72e-d6cc7d8b0ef1/ECRB_revenue_determination.pdf</w:t>
        </w:r>
      </w:hyperlink>
      <w:r w:rsidRPr="00665ED7">
        <w:rPr>
          <w:sz w:val="18"/>
        </w:rPr>
        <w:t xml:space="preserve"> </w:t>
      </w:r>
    </w:p>
  </w:footnote>
  <w:footnote w:id="7">
    <w:p w:rsidR="007E62EC" w:rsidRPr="00CA414A" w:rsidRDefault="007E62EC" w:rsidP="007509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A12683">
          <w:rPr>
            <w:rStyle w:val="Hyperlink"/>
          </w:rPr>
          <w:t>http://ero-ks.org/2017/Tarifat/Raport_Konsultativ_per_jetegjatesine_e_aseteve_04072017.pdf</w:t>
        </w:r>
      </w:hyperlink>
      <w:r>
        <w:t xml:space="preserve"> </w:t>
      </w:r>
    </w:p>
  </w:footnote>
  <w:footnote w:id="8">
    <w:p w:rsidR="00C94895" w:rsidRPr="00CA414A" w:rsidRDefault="00C94895" w:rsidP="00C948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A12683">
          <w:rPr>
            <w:rStyle w:val="Hyperlink"/>
          </w:rPr>
          <w:t>https://erranet.org/electricity-tso-dso-revenue-study-published/#</w:t>
        </w:r>
      </w:hyperlink>
      <w:r>
        <w:t xml:space="preserve"> </w:t>
      </w:r>
    </w:p>
  </w:footnote>
  <w:footnote w:id="9">
    <w:p w:rsidR="007E62EC" w:rsidRPr="00CA414A" w:rsidRDefault="007E62EC" w:rsidP="007509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A12683">
          <w:rPr>
            <w:rStyle w:val="Hyperlink"/>
          </w:rPr>
          <w:t>https://www.ceer.eu/documents/104400/-/-/9665e39a-3d8b-25dd-7545-09a247f9c2ff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C" w:rsidRDefault="007E62EC">
    <w:pPr>
      <w:pStyle w:val="Header"/>
    </w:pPr>
    <w:r>
      <w:object w:dxaOrig="1171" w:dyaOrig="1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7.75pt">
          <v:imagedata r:id="rId1" o:title=""/>
        </v:shape>
        <o:OLEObject Type="Embed" ProgID="CorelDRAW.Graphic.14" ShapeID="_x0000_i1025" DrawAspect="Content" ObjectID="_169976738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C" w:rsidRDefault="007E62EC">
    <w:pPr>
      <w:pStyle w:val="Header"/>
    </w:pPr>
    <w:r>
      <w:rPr>
        <w:noProof/>
        <w:lang w:val="en-US"/>
      </w:rPr>
      <w:drawing>
        <wp:inline distT="0" distB="0" distL="0" distR="0" wp14:anchorId="2359749D" wp14:editId="39DB6D6C">
          <wp:extent cx="5739130" cy="117348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13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D529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B12BA"/>
    <w:multiLevelType w:val="hybridMultilevel"/>
    <w:tmpl w:val="E83CF0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4D40"/>
    <w:multiLevelType w:val="hybridMultilevel"/>
    <w:tmpl w:val="6FC2F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E54"/>
    <w:multiLevelType w:val="hybridMultilevel"/>
    <w:tmpl w:val="15BE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3C8D"/>
    <w:multiLevelType w:val="hybridMultilevel"/>
    <w:tmpl w:val="52282D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64CE"/>
    <w:multiLevelType w:val="hybridMultilevel"/>
    <w:tmpl w:val="EFE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45C8E"/>
    <w:multiLevelType w:val="hybridMultilevel"/>
    <w:tmpl w:val="1A8264BE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40303057"/>
    <w:multiLevelType w:val="hybridMultilevel"/>
    <w:tmpl w:val="68002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65C8C"/>
    <w:multiLevelType w:val="hybridMultilevel"/>
    <w:tmpl w:val="6EBE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10"/>
        </w:tabs>
        <w:ind w:left="81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700"/>
        </w:tabs>
        <w:ind w:left="241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E334D9F"/>
    <w:multiLevelType w:val="hybridMultilevel"/>
    <w:tmpl w:val="2D1E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A5ABF"/>
    <w:multiLevelType w:val="hybridMultilevel"/>
    <w:tmpl w:val="41D03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946EF"/>
    <w:multiLevelType w:val="hybridMultilevel"/>
    <w:tmpl w:val="1B26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4401"/>
    <w:multiLevelType w:val="hybridMultilevel"/>
    <w:tmpl w:val="424C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BE2EF3"/>
    <w:multiLevelType w:val="hybridMultilevel"/>
    <w:tmpl w:val="97867788"/>
    <w:lvl w:ilvl="0" w:tplc="D8BC6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77C4F"/>
    <w:multiLevelType w:val="hybridMultilevel"/>
    <w:tmpl w:val="7F1C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 w:val="0"/>
        <w:i w:val="0"/>
        <w:sz w:val="24"/>
      </w:rPr>
    </w:lvl>
  </w:abstractNum>
  <w:abstractNum w:abstractNumId="17" w15:restartNumberingAfterBreak="0">
    <w:nsid w:val="7D074505"/>
    <w:multiLevelType w:val="hybridMultilevel"/>
    <w:tmpl w:val="0786F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17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3C"/>
    <w:rsid w:val="000047E5"/>
    <w:rsid w:val="00025E72"/>
    <w:rsid w:val="00045B47"/>
    <w:rsid w:val="00065BFF"/>
    <w:rsid w:val="00094217"/>
    <w:rsid w:val="000B1483"/>
    <w:rsid w:val="000B6510"/>
    <w:rsid w:val="000D1DB0"/>
    <w:rsid w:val="000E4E1D"/>
    <w:rsid w:val="000E5115"/>
    <w:rsid w:val="000F4234"/>
    <w:rsid w:val="00115112"/>
    <w:rsid w:val="001226BA"/>
    <w:rsid w:val="00152C38"/>
    <w:rsid w:val="00172B3D"/>
    <w:rsid w:val="001B615A"/>
    <w:rsid w:val="001C4C42"/>
    <w:rsid w:val="001D178F"/>
    <w:rsid w:val="001E257E"/>
    <w:rsid w:val="001E5AD0"/>
    <w:rsid w:val="001E6E36"/>
    <w:rsid w:val="001E7888"/>
    <w:rsid w:val="001F42B5"/>
    <w:rsid w:val="00266474"/>
    <w:rsid w:val="00267363"/>
    <w:rsid w:val="00297252"/>
    <w:rsid w:val="002A6D55"/>
    <w:rsid w:val="002C5003"/>
    <w:rsid w:val="002C5386"/>
    <w:rsid w:val="002D2A85"/>
    <w:rsid w:val="002E3BD0"/>
    <w:rsid w:val="002F0F77"/>
    <w:rsid w:val="00300E36"/>
    <w:rsid w:val="003139E1"/>
    <w:rsid w:val="0031763F"/>
    <w:rsid w:val="003359DD"/>
    <w:rsid w:val="00350EFF"/>
    <w:rsid w:val="0035151E"/>
    <w:rsid w:val="003522FE"/>
    <w:rsid w:val="0035584F"/>
    <w:rsid w:val="00355C4C"/>
    <w:rsid w:val="003740DF"/>
    <w:rsid w:val="003A6CE3"/>
    <w:rsid w:val="003B169A"/>
    <w:rsid w:val="003C7B0E"/>
    <w:rsid w:val="003E2F78"/>
    <w:rsid w:val="003F1366"/>
    <w:rsid w:val="00403FFC"/>
    <w:rsid w:val="00427BEE"/>
    <w:rsid w:val="00436085"/>
    <w:rsid w:val="0046485A"/>
    <w:rsid w:val="00467675"/>
    <w:rsid w:val="00467AF7"/>
    <w:rsid w:val="00467FE0"/>
    <w:rsid w:val="00481A2C"/>
    <w:rsid w:val="004A055E"/>
    <w:rsid w:val="004B2C8B"/>
    <w:rsid w:val="004D67CE"/>
    <w:rsid w:val="004F1254"/>
    <w:rsid w:val="0051030C"/>
    <w:rsid w:val="0051424F"/>
    <w:rsid w:val="005147FA"/>
    <w:rsid w:val="00524AFF"/>
    <w:rsid w:val="00570A78"/>
    <w:rsid w:val="00596A23"/>
    <w:rsid w:val="005B074B"/>
    <w:rsid w:val="005E048A"/>
    <w:rsid w:val="005E0778"/>
    <w:rsid w:val="005E193C"/>
    <w:rsid w:val="005F0EEB"/>
    <w:rsid w:val="00615362"/>
    <w:rsid w:val="00617162"/>
    <w:rsid w:val="00623205"/>
    <w:rsid w:val="00632264"/>
    <w:rsid w:val="006362E8"/>
    <w:rsid w:val="00652C11"/>
    <w:rsid w:val="006619D9"/>
    <w:rsid w:val="00677770"/>
    <w:rsid w:val="00682D40"/>
    <w:rsid w:val="00684272"/>
    <w:rsid w:val="00684E0F"/>
    <w:rsid w:val="00685011"/>
    <w:rsid w:val="006C04F5"/>
    <w:rsid w:val="006D66FC"/>
    <w:rsid w:val="006E7634"/>
    <w:rsid w:val="00701D2D"/>
    <w:rsid w:val="00703E3C"/>
    <w:rsid w:val="0072335B"/>
    <w:rsid w:val="0073248D"/>
    <w:rsid w:val="00740DC3"/>
    <w:rsid w:val="00746EF3"/>
    <w:rsid w:val="0075040B"/>
    <w:rsid w:val="0075093C"/>
    <w:rsid w:val="00756146"/>
    <w:rsid w:val="0076105B"/>
    <w:rsid w:val="0077018B"/>
    <w:rsid w:val="007876E2"/>
    <w:rsid w:val="007925FF"/>
    <w:rsid w:val="00797EFF"/>
    <w:rsid w:val="007A25AB"/>
    <w:rsid w:val="007A6C72"/>
    <w:rsid w:val="007C1BAA"/>
    <w:rsid w:val="007C2BEF"/>
    <w:rsid w:val="007C6E9C"/>
    <w:rsid w:val="007E45BE"/>
    <w:rsid w:val="007E4C63"/>
    <w:rsid w:val="007E62EC"/>
    <w:rsid w:val="00802871"/>
    <w:rsid w:val="0081017E"/>
    <w:rsid w:val="008116E9"/>
    <w:rsid w:val="00820A8B"/>
    <w:rsid w:val="008352B1"/>
    <w:rsid w:val="00840B82"/>
    <w:rsid w:val="008453A5"/>
    <w:rsid w:val="00864AC9"/>
    <w:rsid w:val="008717E2"/>
    <w:rsid w:val="00875C46"/>
    <w:rsid w:val="0088333F"/>
    <w:rsid w:val="00886EB3"/>
    <w:rsid w:val="00895349"/>
    <w:rsid w:val="00895741"/>
    <w:rsid w:val="00897467"/>
    <w:rsid w:val="008A26E8"/>
    <w:rsid w:val="008A3C42"/>
    <w:rsid w:val="008B39A3"/>
    <w:rsid w:val="008D18A7"/>
    <w:rsid w:val="008E2AD0"/>
    <w:rsid w:val="008E59DF"/>
    <w:rsid w:val="008F06E8"/>
    <w:rsid w:val="008F2898"/>
    <w:rsid w:val="008F3684"/>
    <w:rsid w:val="008F7E97"/>
    <w:rsid w:val="00900A11"/>
    <w:rsid w:val="00903FE7"/>
    <w:rsid w:val="00907E64"/>
    <w:rsid w:val="00912908"/>
    <w:rsid w:val="009207D5"/>
    <w:rsid w:val="009277F3"/>
    <w:rsid w:val="009577D2"/>
    <w:rsid w:val="00962EA6"/>
    <w:rsid w:val="0099152F"/>
    <w:rsid w:val="009A6FD3"/>
    <w:rsid w:val="009B2051"/>
    <w:rsid w:val="009B44AC"/>
    <w:rsid w:val="009C0FBD"/>
    <w:rsid w:val="009C134A"/>
    <w:rsid w:val="009D0F42"/>
    <w:rsid w:val="009D3F61"/>
    <w:rsid w:val="009D4CB8"/>
    <w:rsid w:val="009E3547"/>
    <w:rsid w:val="009E6373"/>
    <w:rsid w:val="00A006E0"/>
    <w:rsid w:val="00A06221"/>
    <w:rsid w:val="00A13800"/>
    <w:rsid w:val="00A2085A"/>
    <w:rsid w:val="00A21DD5"/>
    <w:rsid w:val="00A3138C"/>
    <w:rsid w:val="00A320DB"/>
    <w:rsid w:val="00A42991"/>
    <w:rsid w:val="00A5641D"/>
    <w:rsid w:val="00A57E26"/>
    <w:rsid w:val="00A60A3E"/>
    <w:rsid w:val="00A63F9B"/>
    <w:rsid w:val="00A74A49"/>
    <w:rsid w:val="00A74FA9"/>
    <w:rsid w:val="00A849CB"/>
    <w:rsid w:val="00A86C18"/>
    <w:rsid w:val="00A905B3"/>
    <w:rsid w:val="00A94ADC"/>
    <w:rsid w:val="00AA737B"/>
    <w:rsid w:val="00AC2A7E"/>
    <w:rsid w:val="00AC532D"/>
    <w:rsid w:val="00AC5C27"/>
    <w:rsid w:val="00AC6400"/>
    <w:rsid w:val="00AD5C41"/>
    <w:rsid w:val="00AE0E3C"/>
    <w:rsid w:val="00AE1FE0"/>
    <w:rsid w:val="00AF6D35"/>
    <w:rsid w:val="00B079BF"/>
    <w:rsid w:val="00B1351D"/>
    <w:rsid w:val="00B511EA"/>
    <w:rsid w:val="00B57801"/>
    <w:rsid w:val="00B87A64"/>
    <w:rsid w:val="00BA30C7"/>
    <w:rsid w:val="00BC40AA"/>
    <w:rsid w:val="00BD3A53"/>
    <w:rsid w:val="00BE442B"/>
    <w:rsid w:val="00BF06D7"/>
    <w:rsid w:val="00C01760"/>
    <w:rsid w:val="00C020D4"/>
    <w:rsid w:val="00C1454E"/>
    <w:rsid w:val="00C311E1"/>
    <w:rsid w:val="00C31556"/>
    <w:rsid w:val="00C4259E"/>
    <w:rsid w:val="00C5422D"/>
    <w:rsid w:val="00C67C10"/>
    <w:rsid w:val="00C81A79"/>
    <w:rsid w:val="00C831CE"/>
    <w:rsid w:val="00C85B1F"/>
    <w:rsid w:val="00C91A26"/>
    <w:rsid w:val="00C94895"/>
    <w:rsid w:val="00CB1044"/>
    <w:rsid w:val="00CB5349"/>
    <w:rsid w:val="00CE76C3"/>
    <w:rsid w:val="00CF0E05"/>
    <w:rsid w:val="00D07285"/>
    <w:rsid w:val="00D074D6"/>
    <w:rsid w:val="00D1457E"/>
    <w:rsid w:val="00D21336"/>
    <w:rsid w:val="00D277FD"/>
    <w:rsid w:val="00D470D3"/>
    <w:rsid w:val="00D56790"/>
    <w:rsid w:val="00D62BB0"/>
    <w:rsid w:val="00D71B4B"/>
    <w:rsid w:val="00D80ABE"/>
    <w:rsid w:val="00D84DDB"/>
    <w:rsid w:val="00D8789A"/>
    <w:rsid w:val="00D95C3E"/>
    <w:rsid w:val="00DA3080"/>
    <w:rsid w:val="00DC194A"/>
    <w:rsid w:val="00DE0489"/>
    <w:rsid w:val="00DE3D72"/>
    <w:rsid w:val="00E013A5"/>
    <w:rsid w:val="00E0573A"/>
    <w:rsid w:val="00E1427C"/>
    <w:rsid w:val="00E27C99"/>
    <w:rsid w:val="00E33A41"/>
    <w:rsid w:val="00E474CB"/>
    <w:rsid w:val="00E575F0"/>
    <w:rsid w:val="00E63B68"/>
    <w:rsid w:val="00E67D37"/>
    <w:rsid w:val="00E742CD"/>
    <w:rsid w:val="00E87BEF"/>
    <w:rsid w:val="00EA0544"/>
    <w:rsid w:val="00EB07F2"/>
    <w:rsid w:val="00EB177D"/>
    <w:rsid w:val="00EB4800"/>
    <w:rsid w:val="00EB6C01"/>
    <w:rsid w:val="00EB6C41"/>
    <w:rsid w:val="00EE59E5"/>
    <w:rsid w:val="00EF1AE4"/>
    <w:rsid w:val="00EF3B60"/>
    <w:rsid w:val="00EF413B"/>
    <w:rsid w:val="00EF423E"/>
    <w:rsid w:val="00F071BB"/>
    <w:rsid w:val="00F424E7"/>
    <w:rsid w:val="00F50D3C"/>
    <w:rsid w:val="00F52761"/>
    <w:rsid w:val="00F57337"/>
    <w:rsid w:val="00F70E3D"/>
    <w:rsid w:val="00F86DA9"/>
    <w:rsid w:val="00F93B7A"/>
    <w:rsid w:val="00FD45DC"/>
    <w:rsid w:val="00FD57A9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56FF"/>
  <w15:chartTrackingRefBased/>
  <w15:docId w15:val="{88DB52E4-165B-443F-A097-E547F05C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5093C"/>
    <w:pPr>
      <w:keepNext/>
      <w:numPr>
        <w:numId w:val="1"/>
      </w:numPr>
      <w:spacing w:before="360" w:after="200" w:line="276" w:lineRule="auto"/>
      <w:jc w:val="both"/>
      <w:outlineLvl w:val="0"/>
    </w:pPr>
    <w:rPr>
      <w:rFonts w:ascii="Calibri" w:eastAsia="Times New Roman" w:hAnsi="Calibri" w:cs="Arial"/>
      <w:b/>
      <w:bCs/>
      <w:color w:val="003366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5093C"/>
    <w:pPr>
      <w:keepNext/>
      <w:numPr>
        <w:ilvl w:val="1"/>
        <w:numId w:val="1"/>
      </w:numPr>
      <w:autoSpaceDE w:val="0"/>
      <w:autoSpaceDN w:val="0"/>
      <w:adjustRightInd w:val="0"/>
      <w:spacing w:after="200" w:line="276" w:lineRule="auto"/>
      <w:jc w:val="both"/>
      <w:outlineLvl w:val="1"/>
    </w:pPr>
    <w:rPr>
      <w:rFonts w:ascii="Calibri" w:eastAsia="Times New Roman" w:hAnsi="Calibri" w:cs="Arial"/>
      <w:b/>
      <w:bCs/>
      <w:color w:val="003366"/>
      <w:sz w:val="24"/>
      <w:lang w:val="en-GB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5093C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93C"/>
    <w:pPr>
      <w:keepNext/>
      <w:keepLines/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93C"/>
    <w:pPr>
      <w:keepNext/>
      <w:keepLines/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093C"/>
    <w:rPr>
      <w:rFonts w:ascii="Calibri" w:eastAsia="Times New Roman" w:hAnsi="Calibri" w:cs="Arial"/>
      <w:b/>
      <w:bCs/>
      <w:color w:val="003366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5093C"/>
    <w:rPr>
      <w:rFonts w:ascii="Calibri" w:eastAsia="Times New Roman" w:hAnsi="Calibri" w:cs="Arial"/>
      <w:b/>
      <w:bCs/>
      <w:color w:val="003366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75093C"/>
    <w:rPr>
      <w:rFonts w:ascii="Calibri" w:eastAsia="Times New Roman" w:hAnsi="Calibri" w:cs="Arial"/>
      <w:b/>
      <w:bCs/>
      <w:i/>
      <w:color w:val="00336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09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5093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rsid w:val="0075093C"/>
    <w:pPr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="Times New Roman" w:hAnsi="Calibri" w:cs="Arial"/>
      <w:b/>
      <w:color w:val="FFCC0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5093C"/>
    <w:rPr>
      <w:rFonts w:ascii="Calibri" w:eastAsia="Times New Roman" w:hAnsi="Calibri" w:cs="Arial"/>
      <w:b/>
      <w:color w:val="FFCC0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5093C"/>
    <w:pPr>
      <w:tabs>
        <w:tab w:val="center" w:pos="4320"/>
        <w:tab w:val="right" w:pos="8640"/>
      </w:tabs>
      <w:spacing w:after="200" w:line="276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5093C"/>
    <w:rPr>
      <w:rFonts w:ascii="Arial" w:eastAsia="Times New Roman" w:hAnsi="Arial" w:cs="Arial"/>
      <w:szCs w:val="24"/>
      <w:lang w:val="en-GB"/>
    </w:rPr>
  </w:style>
  <w:style w:type="character" w:styleId="PageNumber">
    <w:name w:val="page number"/>
    <w:basedOn w:val="DefaultParagraphFont"/>
    <w:uiPriority w:val="99"/>
    <w:rsid w:val="0075093C"/>
    <w:rPr>
      <w:rFonts w:ascii="Calibri" w:hAnsi="Calibri"/>
      <w:sz w:val="18"/>
    </w:rPr>
  </w:style>
  <w:style w:type="paragraph" w:styleId="Title">
    <w:name w:val="Title"/>
    <w:basedOn w:val="Normal"/>
    <w:link w:val="TitleChar"/>
    <w:uiPriority w:val="99"/>
    <w:qFormat/>
    <w:rsid w:val="0075093C"/>
    <w:pPr>
      <w:shd w:val="clear" w:color="auto" w:fill="002060"/>
      <w:tabs>
        <w:tab w:val="center" w:pos="4320"/>
      </w:tabs>
      <w:spacing w:before="240" w:after="200" w:line="276" w:lineRule="auto"/>
      <w:jc w:val="both"/>
    </w:pPr>
    <w:rPr>
      <w:rFonts w:ascii="Calibri" w:eastAsia="Times New Roman" w:hAnsi="Calibri" w:cs="Arial Bold"/>
      <w:b/>
      <w:bCs/>
      <w:color w:val="FFC000"/>
      <w:sz w:val="48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75093C"/>
    <w:rPr>
      <w:rFonts w:ascii="Calibri" w:eastAsia="Times New Roman" w:hAnsi="Calibri" w:cs="Arial Bold"/>
      <w:b/>
      <w:bCs/>
      <w:color w:val="FFC000"/>
      <w:sz w:val="48"/>
      <w:szCs w:val="24"/>
      <w:shd w:val="clear" w:color="auto" w:fill="002060"/>
      <w:lang w:val="sq-AL"/>
    </w:rPr>
  </w:style>
  <w:style w:type="paragraph" w:styleId="Caption">
    <w:name w:val="caption"/>
    <w:aliases w:val="Tabellen"/>
    <w:basedOn w:val="Normal"/>
    <w:next w:val="Normal"/>
    <w:qFormat/>
    <w:rsid w:val="0075093C"/>
    <w:pPr>
      <w:keepNext/>
      <w:spacing w:after="200" w:line="276" w:lineRule="auto"/>
      <w:jc w:val="both"/>
    </w:pPr>
    <w:rPr>
      <w:rFonts w:ascii="Calibri" w:eastAsia="Times New Roman" w:hAnsi="Calibri" w:cs="Arial"/>
      <w:b/>
      <w:bCs/>
      <w:i/>
      <w:color w:val="003366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75093C"/>
    <w:pPr>
      <w:tabs>
        <w:tab w:val="left" w:pos="288"/>
      </w:tabs>
      <w:spacing w:after="60" w:line="276" w:lineRule="auto"/>
      <w:ind w:left="288" w:hanging="288"/>
      <w:jc w:val="both"/>
    </w:pPr>
    <w:rPr>
      <w:rFonts w:ascii="Calibri" w:eastAsia="Times New Roman" w:hAnsi="Calibri" w:cs="Arial"/>
      <w:sz w:val="20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5093C"/>
    <w:rPr>
      <w:rFonts w:ascii="Calibri" w:eastAsia="Times New Roman" w:hAnsi="Calibri" w:cs="Arial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75093C"/>
    <w:rPr>
      <w:vertAlign w:val="superscript"/>
    </w:rPr>
  </w:style>
  <w:style w:type="character" w:styleId="Hyperlink">
    <w:name w:val="Hyperlink"/>
    <w:basedOn w:val="DefaultParagraphFont"/>
    <w:uiPriority w:val="99"/>
    <w:rsid w:val="0075093C"/>
    <w:rPr>
      <w:color w:val="0000FF"/>
      <w:u w:val="single"/>
    </w:rPr>
  </w:style>
  <w:style w:type="paragraph" w:styleId="ListBullet">
    <w:name w:val="List Bullet"/>
    <w:basedOn w:val="Normal"/>
    <w:uiPriority w:val="99"/>
    <w:rsid w:val="0075093C"/>
    <w:pPr>
      <w:numPr>
        <w:numId w:val="2"/>
      </w:numPr>
      <w:tabs>
        <w:tab w:val="clear" w:pos="360"/>
        <w:tab w:val="num" w:pos="720"/>
      </w:tabs>
      <w:spacing w:after="200" w:line="276" w:lineRule="auto"/>
      <w:ind w:left="720"/>
      <w:jc w:val="both"/>
    </w:pPr>
    <w:rPr>
      <w:rFonts w:ascii="Calibri" w:eastAsia="Times New Roman" w:hAnsi="Calibri" w:cs="Arial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75093C"/>
    <w:pPr>
      <w:spacing w:before="200" w:after="200" w:line="276" w:lineRule="auto"/>
      <w:jc w:val="both"/>
    </w:pPr>
    <w:rPr>
      <w:rFonts w:ascii="Calibri" w:eastAsia="Times New Roman" w:hAnsi="Calibri" w:cs="Arial"/>
      <w:b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75093C"/>
    <w:pPr>
      <w:spacing w:after="100" w:line="276" w:lineRule="auto"/>
      <w:ind w:left="245"/>
      <w:jc w:val="both"/>
    </w:pPr>
    <w:rPr>
      <w:rFonts w:ascii="Calibri" w:eastAsia="Times New Roman" w:hAnsi="Calibri" w:cs="Arial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75093C"/>
    <w:pPr>
      <w:spacing w:after="120" w:line="276" w:lineRule="auto"/>
      <w:ind w:left="475"/>
      <w:jc w:val="both"/>
    </w:pPr>
    <w:rPr>
      <w:rFonts w:ascii="Calibri" w:eastAsia="Times New Roman" w:hAnsi="Calibri" w:cs="Arial"/>
      <w:sz w:val="20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3C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3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93C"/>
    <w:rPr>
      <w:rFonts w:ascii="Calibri" w:eastAsia="Times New Roman" w:hAnsi="Calibri" w:cs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93C"/>
    <w:pPr>
      <w:spacing w:after="200" w:line="240" w:lineRule="auto"/>
      <w:jc w:val="both"/>
    </w:pPr>
    <w:rPr>
      <w:rFonts w:ascii="Calibri" w:eastAsia="Times New Roman" w:hAnsi="Calibri" w:cs="Arial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75093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93C"/>
    <w:rPr>
      <w:rFonts w:ascii="Calibri" w:eastAsia="Times New Roman" w:hAnsi="Calibri" w:cs="Arial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93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5093C"/>
    <w:rPr>
      <w:b/>
      <w:bCs/>
      <w:sz w:val="20"/>
      <w:szCs w:val="20"/>
    </w:rPr>
  </w:style>
  <w:style w:type="character" w:customStyle="1" w:styleId="hps">
    <w:name w:val="hps"/>
    <w:basedOn w:val="DefaultParagraphFont"/>
    <w:uiPriority w:val="99"/>
    <w:rsid w:val="0075093C"/>
    <w:rPr>
      <w:rFonts w:cs="Times New Roman"/>
    </w:rPr>
  </w:style>
  <w:style w:type="paragraph" w:styleId="ListParagraph">
    <w:name w:val="List Paragraph"/>
    <w:aliases w:val="Bullets,Medium Grid 1 - Accent 22,List Paragraph1"/>
    <w:basedOn w:val="Normal"/>
    <w:link w:val="ListParagraphChar"/>
    <w:uiPriority w:val="34"/>
    <w:qFormat/>
    <w:rsid w:val="0075093C"/>
    <w:pPr>
      <w:spacing w:after="200" w:line="276" w:lineRule="auto"/>
      <w:ind w:left="720"/>
      <w:jc w:val="both"/>
    </w:pPr>
    <w:rPr>
      <w:rFonts w:ascii="Calibri" w:eastAsia="Times New Roman" w:hAnsi="Calibri" w:cs="Arial"/>
      <w:szCs w:val="24"/>
      <w:lang w:val="en-GB"/>
    </w:rPr>
  </w:style>
  <w:style w:type="character" w:customStyle="1" w:styleId="ListParagraphChar">
    <w:name w:val="List Paragraph Char"/>
    <w:aliases w:val="Bullets Char,Medium Grid 1 - Accent 22 Char,List Paragraph1 Char"/>
    <w:basedOn w:val="DefaultParagraphFont"/>
    <w:link w:val="ListParagraph"/>
    <w:uiPriority w:val="34"/>
    <w:locked/>
    <w:rsid w:val="0075093C"/>
    <w:rPr>
      <w:rFonts w:ascii="Calibri" w:eastAsia="Times New Roman" w:hAnsi="Calibri" w:cs="Arial"/>
      <w:szCs w:val="24"/>
      <w:lang w:val="en-GB"/>
    </w:rPr>
  </w:style>
  <w:style w:type="paragraph" w:customStyle="1" w:styleId="HeadingS">
    <w:name w:val="Heading S"/>
    <w:basedOn w:val="Heading1"/>
    <w:next w:val="TextS"/>
    <w:qFormat/>
    <w:rsid w:val="0075093C"/>
    <w:pPr>
      <w:pageBreakBefore/>
      <w:numPr>
        <w:numId w:val="0"/>
      </w:numPr>
      <w:spacing w:before="480" w:after="480" w:line="312" w:lineRule="auto"/>
      <w:ind w:left="360" w:hanging="360"/>
      <w:jc w:val="center"/>
    </w:pPr>
    <w:rPr>
      <w:rFonts w:cs="Times New Roman"/>
      <w:bCs w:val="0"/>
      <w:caps/>
      <w:color w:val="auto"/>
      <w:sz w:val="22"/>
      <w:szCs w:val="22"/>
      <w:lang w:val="en-AU" w:eastAsia="en-GB"/>
    </w:rPr>
  </w:style>
  <w:style w:type="paragraph" w:customStyle="1" w:styleId="TextS">
    <w:name w:val="TextS"/>
    <w:basedOn w:val="Normal"/>
    <w:link w:val="TextSChar"/>
    <w:qFormat/>
    <w:rsid w:val="0075093C"/>
    <w:pPr>
      <w:spacing w:before="240" w:after="240" w:line="240" w:lineRule="auto"/>
      <w:ind w:left="720" w:hanging="720"/>
      <w:jc w:val="both"/>
    </w:pPr>
    <w:rPr>
      <w:rFonts w:ascii="Calibri" w:eastAsia="Times New Roman" w:hAnsi="Calibri" w:cs="Times New Roman"/>
      <w:szCs w:val="24"/>
      <w:lang w:val="en-AU" w:eastAsia="en-GB"/>
    </w:rPr>
  </w:style>
  <w:style w:type="character" w:customStyle="1" w:styleId="TextSChar">
    <w:name w:val="TextS Char"/>
    <w:basedOn w:val="DefaultParagraphFont"/>
    <w:link w:val="TextS"/>
    <w:rsid w:val="0075093C"/>
    <w:rPr>
      <w:rFonts w:ascii="Calibri" w:eastAsia="Times New Roman" w:hAnsi="Calibri" w:cs="Times New Roman"/>
      <w:szCs w:val="24"/>
      <w:lang w:val="en-AU" w:eastAsia="en-GB"/>
    </w:rPr>
  </w:style>
  <w:style w:type="paragraph" w:customStyle="1" w:styleId="Equation">
    <w:name w:val="Equation"/>
    <w:basedOn w:val="TextS"/>
    <w:link w:val="EquationChar"/>
    <w:qFormat/>
    <w:rsid w:val="0075093C"/>
    <w:pPr>
      <w:ind w:left="2160" w:hanging="1440"/>
    </w:pPr>
    <w:rPr>
      <w:i/>
      <w:lang w:val="en-GB"/>
    </w:rPr>
  </w:style>
  <w:style w:type="character" w:customStyle="1" w:styleId="EquationChar">
    <w:name w:val="Equation Char"/>
    <w:basedOn w:val="TextSChar"/>
    <w:link w:val="Equation"/>
    <w:rsid w:val="0075093C"/>
    <w:rPr>
      <w:rFonts w:ascii="Calibri" w:eastAsia="Times New Roman" w:hAnsi="Calibri" w:cs="Times New Roman"/>
      <w:i/>
      <w:szCs w:val="24"/>
      <w:lang w:val="en-GB" w:eastAsia="en-GB"/>
    </w:rPr>
  </w:style>
  <w:style w:type="character" w:customStyle="1" w:styleId="spelle">
    <w:name w:val="spelle"/>
    <w:basedOn w:val="DefaultParagraphFont"/>
    <w:rsid w:val="0075093C"/>
  </w:style>
  <w:style w:type="paragraph" w:styleId="Subtitle">
    <w:name w:val="Subtitle"/>
    <w:basedOn w:val="Normal"/>
    <w:next w:val="Normal"/>
    <w:link w:val="SubtitleChar"/>
    <w:uiPriority w:val="11"/>
    <w:qFormat/>
    <w:rsid w:val="0075093C"/>
    <w:pPr>
      <w:numPr>
        <w:ilvl w:val="1"/>
      </w:numPr>
      <w:shd w:val="clear" w:color="auto" w:fill="002060"/>
      <w:spacing w:before="240" w:after="200" w:line="276" w:lineRule="auto"/>
      <w:jc w:val="center"/>
    </w:pPr>
    <w:rPr>
      <w:rFonts w:ascii="Calibri" w:eastAsiaTheme="majorEastAsia" w:hAnsi="Calibri" w:cstheme="majorBidi"/>
      <w:iCs/>
      <w:color w:val="FFC000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93C"/>
    <w:rPr>
      <w:rFonts w:ascii="Calibri" w:eastAsiaTheme="majorEastAsia" w:hAnsi="Calibri" w:cstheme="majorBidi"/>
      <w:iCs/>
      <w:color w:val="FFC000"/>
      <w:spacing w:val="15"/>
      <w:sz w:val="48"/>
      <w:szCs w:val="24"/>
      <w:shd w:val="clear" w:color="auto" w:fill="002060"/>
    </w:rPr>
  </w:style>
  <w:style w:type="paragraph" w:customStyle="1" w:styleId="ReportDate">
    <w:name w:val="Report Date"/>
    <w:basedOn w:val="Normal"/>
    <w:link w:val="ReportDateChar"/>
    <w:qFormat/>
    <w:rsid w:val="0075093C"/>
    <w:pPr>
      <w:tabs>
        <w:tab w:val="left" w:pos="2175"/>
      </w:tabs>
      <w:spacing w:after="200" w:line="276" w:lineRule="auto"/>
      <w:jc w:val="center"/>
    </w:pPr>
    <w:rPr>
      <w:b/>
      <w:bCs/>
      <w:color w:val="005D97"/>
      <w:sz w:val="36"/>
      <w:szCs w:val="36"/>
    </w:rPr>
  </w:style>
  <w:style w:type="character" w:customStyle="1" w:styleId="ReportDateChar">
    <w:name w:val="Report Date Char"/>
    <w:basedOn w:val="DefaultParagraphFont"/>
    <w:link w:val="ReportDate"/>
    <w:rsid w:val="0075093C"/>
    <w:rPr>
      <w:b/>
      <w:bCs/>
      <w:color w:val="005D97"/>
      <w:sz w:val="36"/>
      <w:szCs w:val="36"/>
    </w:rPr>
  </w:style>
  <w:style w:type="paragraph" w:customStyle="1" w:styleId="Bullet1">
    <w:name w:val="Bullet 1"/>
    <w:basedOn w:val="Normal"/>
    <w:rsid w:val="0075093C"/>
    <w:pPr>
      <w:numPr>
        <w:numId w:val="3"/>
      </w:numPr>
      <w:spacing w:before="100" w:after="0" w:line="312" w:lineRule="auto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table" w:styleId="LightShading-Accent5">
    <w:name w:val="Light Shading Accent 5"/>
    <w:basedOn w:val="TableNormal"/>
    <w:uiPriority w:val="60"/>
    <w:rsid w:val="0075093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leGrid">
    <w:name w:val="Table Grid"/>
    <w:basedOn w:val="TableNormal"/>
    <w:rsid w:val="0075093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0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h-TH"/>
    </w:rPr>
  </w:style>
  <w:style w:type="paragraph" w:customStyle="1" w:styleId="Text">
    <w:name w:val="Text"/>
    <w:basedOn w:val="Normal"/>
    <w:link w:val="TextChar"/>
    <w:qFormat/>
    <w:rsid w:val="0075093C"/>
    <w:pPr>
      <w:spacing w:before="240" w:after="240" w:line="240" w:lineRule="auto"/>
      <w:ind w:left="720" w:hanging="720"/>
      <w:jc w:val="both"/>
    </w:pPr>
    <w:rPr>
      <w:rFonts w:ascii="Calibri" w:eastAsia="Times New Roman" w:hAnsi="Calibri" w:cs="Times New Roman"/>
      <w:lang w:val="en-GB"/>
    </w:rPr>
  </w:style>
  <w:style w:type="character" w:customStyle="1" w:styleId="TextChar">
    <w:name w:val="Text Char"/>
    <w:link w:val="Text"/>
    <w:rsid w:val="0075093C"/>
    <w:rPr>
      <w:rFonts w:ascii="Calibri" w:eastAsia="Times New Roman" w:hAnsi="Calibri" w:cs="Times New Roman"/>
      <w:lang w:val="en-GB"/>
    </w:rPr>
  </w:style>
  <w:style w:type="paragraph" w:styleId="Revision">
    <w:name w:val="Revision"/>
    <w:hidden/>
    <w:uiPriority w:val="99"/>
    <w:semiHidden/>
    <w:rsid w:val="0075093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09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75093C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table" w:customStyle="1" w:styleId="GridTable4-Accent51">
    <w:name w:val="Grid Table 4 - Accent 51"/>
    <w:basedOn w:val="TableNormal"/>
    <w:uiPriority w:val="49"/>
    <w:rsid w:val="007509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5093C"/>
    <w:pPr>
      <w:spacing w:after="100" w:line="276" w:lineRule="auto"/>
      <w:ind w:left="660"/>
      <w:jc w:val="both"/>
    </w:pPr>
  </w:style>
  <w:style w:type="paragraph" w:styleId="TOC5">
    <w:name w:val="toc 5"/>
    <w:basedOn w:val="Normal"/>
    <w:next w:val="Normal"/>
    <w:autoRedefine/>
    <w:uiPriority w:val="39"/>
    <w:unhideWhenUsed/>
    <w:rsid w:val="0075093C"/>
    <w:pPr>
      <w:spacing w:after="100" w:line="276" w:lineRule="auto"/>
      <w:ind w:left="880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AA737B"/>
    <w:rPr>
      <w:color w:val="954F72" w:themeColor="followedHyperlink"/>
      <w:u w:val="single"/>
    </w:rPr>
  </w:style>
  <w:style w:type="paragraph" w:customStyle="1" w:styleId="ReportTitle">
    <w:name w:val="Report Title"/>
    <w:basedOn w:val="Title"/>
    <w:link w:val="ReportTitleChar"/>
    <w:qFormat/>
    <w:rsid w:val="00EB6C01"/>
    <w:pPr>
      <w:shd w:val="clear" w:color="auto" w:fill="005D97"/>
      <w:spacing w:before="0" w:after="0"/>
      <w:jc w:val="center"/>
    </w:pPr>
    <w:rPr>
      <w:rFonts w:cs="Arial"/>
      <w:color w:val="8064A2"/>
      <w:szCs w:val="40"/>
    </w:rPr>
  </w:style>
  <w:style w:type="character" w:customStyle="1" w:styleId="ReportTitleChar">
    <w:name w:val="Report Title Char"/>
    <w:basedOn w:val="TitleChar"/>
    <w:link w:val="ReportTitle"/>
    <w:rsid w:val="00EB6C01"/>
    <w:rPr>
      <w:rFonts w:ascii="Calibri" w:eastAsia="Times New Roman" w:hAnsi="Calibri" w:cs="Arial"/>
      <w:b/>
      <w:bCs/>
      <w:color w:val="8064A2"/>
      <w:sz w:val="48"/>
      <w:szCs w:val="40"/>
      <w:shd w:val="clear" w:color="auto" w:fill="005D97"/>
      <w:lang w:val="sq-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B3D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AC5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.pricing-tariffs@ero-ks.org" TargetMode="Externa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o-ks.org/zrre/sites/default/files/Publikimet/Pjesemarresit%20ne%20Treg/Furnizim/Propozimi%20per%20Vlerat%20Hyrese%202022-2024%20per%20FSHU_KESC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investingforbeginners.com/computer-software-depreciation-accounting/" TargetMode="External"/><Relationship Id="rId10" Type="http://schemas.openxmlformats.org/officeDocument/2006/relationships/hyperlink" Target="http://ero-ks.org/2017/Rregullat/USS%20Pricing%20Rul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ro-ks.org/2016/Ligjet/LIGJI_PER_RREGULLATORIN_E_ENERGJISEang.pdf" TargetMode="Externa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md/cautare/getResults?doc_id=103740&amp;lang=ro" TargetMode="External"/><Relationship Id="rId3" Type="http://schemas.openxmlformats.org/officeDocument/2006/relationships/hyperlink" Target="https://www.epdk.gov.tr/Detay/SiteSearch?st=2021-2025" TargetMode="External"/><Relationship Id="rId7" Type="http://schemas.openxmlformats.org/officeDocument/2006/relationships/hyperlink" Target="https://www.legis.md/cautare/getResults?doc_id=103740&amp;lang=ro" TargetMode="External"/><Relationship Id="rId12" Type="http://schemas.openxmlformats.org/officeDocument/2006/relationships/hyperlink" Target="https://www.ceer.eu/documents/104400/-/-/9665e39a-3d8b-25dd-7545-09a247f9c2ff" TargetMode="External"/><Relationship Id="rId2" Type="http://schemas.openxmlformats.org/officeDocument/2006/relationships/hyperlink" Target="https://www.cru.ie/wp-content/uploads/2017/10/CRU17291-RFI-Information-paper.pdf" TargetMode="External"/><Relationship Id="rId1" Type="http://schemas.openxmlformats.org/officeDocument/2006/relationships/hyperlink" Target="http://ere.gov.al/doc/Metodologjia_FSHU-1.pdf" TargetMode="External"/><Relationship Id="rId6" Type="http://schemas.openxmlformats.org/officeDocument/2006/relationships/hyperlink" Target="https://gnerc.org/files/Legal%20Acts%20in%20english/USS%20TARIFF%20SETTING%20METHODOLOGY-12.21.2020%20(approved).pdf" TargetMode="External"/><Relationship Id="rId11" Type="http://schemas.openxmlformats.org/officeDocument/2006/relationships/hyperlink" Target="https://erranet.org/electricity-tso-dso-revenue-study-published/" TargetMode="External"/><Relationship Id="rId5" Type="http://schemas.openxmlformats.org/officeDocument/2006/relationships/hyperlink" Target="https://gnerc.org/files/Legal%20Acts%20in%20english/USS%20TARIFF%20SETTING%20METHODOLOGY-12.21.2020%20(approved).pdf" TargetMode="External"/><Relationship Id="rId10" Type="http://schemas.openxmlformats.org/officeDocument/2006/relationships/hyperlink" Target="http://ero-ks.org/2017/Tarifat/Raport_Konsultativ_per_jetegjatesine_e_aseteve_04072017.pdf" TargetMode="External"/><Relationship Id="rId4" Type="http://schemas.openxmlformats.org/officeDocument/2006/relationships/hyperlink" Target="https://www.epdk.gov.tr/Detay/SiteSearch?st=2021-2025" TargetMode="External"/><Relationship Id="rId9" Type="http://schemas.openxmlformats.org/officeDocument/2006/relationships/hyperlink" Target="https://www.energy-community.org/dam/jcr:f0feeb6e-96c9-48fd-b72e-d6cc7d8b0ef1/ECRB_revenue_determinatio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rudari\Desktop\OPEX-BD-2022-2024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RO%20user\Desktop\Parametrat%20hyres%20per%20FSHU%202022-2024\OPEX-BD-2022-2024_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Kostot aktuale të operimit dhe mirëmbajtjes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300214678528627"/>
          <c:y val="0.13588569335043049"/>
          <c:w val="0.84112158880633925"/>
          <c:h val="0.625247334099724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OPEX!$B$4</c:f>
              <c:strCache>
                <c:ptCount val="1"/>
                <c:pt idx="0">
                  <c:v>Shpenzimet e personelit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OPEX!$C$2:$G$2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OPEX!$C$4:$G$4</c:f>
              <c:numCache>
                <c:formatCode>#,##0</c:formatCode>
                <c:ptCount val="5"/>
                <c:pt idx="0">
                  <c:v>1784.2326460782738</c:v>
                </c:pt>
                <c:pt idx="1">
                  <c:v>2035.9496807022385</c:v>
                </c:pt>
                <c:pt idx="2">
                  <c:v>1670.44852692162</c:v>
                </c:pt>
                <c:pt idx="3">
                  <c:v>1952.9720594999999</c:v>
                </c:pt>
                <c:pt idx="4">
                  <c:v>1939.0283999999999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0-467F-9596-432D95B38B29}"/>
            </c:ext>
          </c:extLst>
        </c:ser>
        <c:ser>
          <c:idx val="1"/>
          <c:order val="1"/>
          <c:tx>
            <c:strRef>
              <c:f>OPEX!$B$5</c:f>
              <c:strCache>
                <c:ptCount val="1"/>
                <c:pt idx="0">
                  <c:v>Mirëmbajtja, Inventari dhe Furnizimet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OPEX!$C$2:$G$2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OPEX!$C$5:$G$5</c:f>
              <c:numCache>
                <c:formatCode>General</c:formatCode>
                <c:ptCount val="5"/>
                <c:pt idx="0">
                  <c:v>90</c:v>
                </c:pt>
                <c:pt idx="1">
                  <c:v>80</c:v>
                </c:pt>
                <c:pt idx="2">
                  <c:v>81</c:v>
                </c:pt>
                <c:pt idx="3">
                  <c:v>88</c:v>
                </c:pt>
                <c:pt idx="4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50-467F-9596-432D95B38B29}"/>
            </c:ext>
          </c:extLst>
        </c:ser>
        <c:ser>
          <c:idx val="2"/>
          <c:order val="2"/>
          <c:tx>
            <c:strRef>
              <c:f>OPEX!$B$6</c:f>
              <c:strCache>
                <c:ptCount val="1"/>
                <c:pt idx="0">
                  <c:v>Sigurimi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OPEX!$C$2:$G$2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OPEX!$C$6:$G$6</c:f>
              <c:numCache>
                <c:formatCode>General</c:formatCode>
                <c:ptCount val="5"/>
                <c:pt idx="0">
                  <c:v>377</c:v>
                </c:pt>
                <c:pt idx="1">
                  <c:v>364</c:v>
                </c:pt>
                <c:pt idx="2">
                  <c:v>340</c:v>
                </c:pt>
                <c:pt idx="3">
                  <c:v>312</c:v>
                </c:pt>
                <c:pt idx="4">
                  <c:v>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50-467F-9596-432D95B38B29}"/>
            </c:ext>
          </c:extLst>
        </c:ser>
        <c:ser>
          <c:idx val="3"/>
          <c:order val="3"/>
          <c:tx>
            <c:strRef>
              <c:f>OPEX!$B$7</c:f>
              <c:strCache>
                <c:ptCount val="1"/>
                <c:pt idx="0">
                  <c:v>Kosto të tjera operative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OPEX!$C$2:$G$2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OPEX!$C$7:$G$7</c:f>
              <c:numCache>
                <c:formatCode>#,##0</c:formatCode>
                <c:ptCount val="5"/>
                <c:pt idx="0" formatCode="General">
                  <c:v>747</c:v>
                </c:pt>
                <c:pt idx="1">
                  <c:v>1157</c:v>
                </c:pt>
                <c:pt idx="2">
                  <c:v>1930</c:v>
                </c:pt>
                <c:pt idx="3">
                  <c:v>999</c:v>
                </c:pt>
                <c:pt idx="4">
                  <c:v>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50-467F-9596-432D95B38B29}"/>
            </c:ext>
          </c:extLst>
        </c:ser>
        <c:ser>
          <c:idx val="4"/>
          <c:order val="4"/>
          <c:tx>
            <c:strRef>
              <c:f>OPEX!$B$8</c:f>
              <c:strCache>
                <c:ptCount val="1"/>
                <c:pt idx="0">
                  <c:v>Kostot e përbashkëta dhe qiraja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OPEX!$C$2:$G$2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OPEX!$C$8:$G$8</c:f>
              <c:numCache>
                <c:formatCode>#,##0</c:formatCode>
                <c:ptCount val="5"/>
                <c:pt idx="0">
                  <c:v>1063</c:v>
                </c:pt>
                <c:pt idx="1">
                  <c:v>991</c:v>
                </c:pt>
                <c:pt idx="2">
                  <c:v>1044</c:v>
                </c:pt>
                <c:pt idx="3">
                  <c:v>1147</c:v>
                </c:pt>
                <c:pt idx="4">
                  <c:v>1165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50-467F-9596-432D95B38B29}"/>
            </c:ext>
          </c:extLst>
        </c:ser>
        <c:ser>
          <c:idx val="5"/>
          <c:order val="5"/>
          <c:tx>
            <c:strRef>
              <c:f>OPEX!$B$9</c:f>
              <c:strCache>
                <c:ptCount val="1"/>
                <c:pt idx="0">
                  <c:v>E drejta e përdorimit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OPEX!$C$2:$G$2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OPEX!$C$9:$G$9</c:f>
              <c:numCache>
                <c:formatCode>General</c:formatCode>
                <c:ptCount val="5"/>
                <c:pt idx="0">
                  <c:v>473</c:v>
                </c:pt>
                <c:pt idx="1">
                  <c:v>473</c:v>
                </c:pt>
                <c:pt idx="2">
                  <c:v>473</c:v>
                </c:pt>
                <c:pt idx="3">
                  <c:v>473</c:v>
                </c:pt>
                <c:pt idx="4">
                  <c:v>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850-467F-9596-432D95B38B29}"/>
            </c:ext>
          </c:extLst>
        </c:ser>
        <c:ser>
          <c:idx val="6"/>
          <c:order val="6"/>
          <c:tx>
            <c:strRef>
              <c:f>OPEX!$B$10</c:f>
              <c:strCache>
                <c:ptCount val="1"/>
                <c:pt idx="0">
                  <c:v>Shpenzimet financiare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OPEX!$C$10:$G$10</c:f>
              <c:numCache>
                <c:formatCode>0</c:formatCode>
                <c:ptCount val="5"/>
                <c:pt idx="0">
                  <c:v>420.65274999999997</c:v>
                </c:pt>
                <c:pt idx="1">
                  <c:v>207.08799999999999</c:v>
                </c:pt>
                <c:pt idx="2">
                  <c:v>450.58100000000002</c:v>
                </c:pt>
                <c:pt idx="3">
                  <c:v>500.77</c:v>
                </c:pt>
                <c:pt idx="4">
                  <c:v>524.17200000000003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850-467F-9596-432D95B38B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30708400"/>
        <c:axId val="1830705136"/>
      </c:barChart>
      <c:catAx>
        <c:axId val="183070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0705136"/>
        <c:crosses val="autoZero"/>
        <c:auto val="1"/>
        <c:lblAlgn val="ctr"/>
        <c:lblOffset val="100"/>
        <c:noMultiLvlLbl val="0"/>
      </c:catAx>
      <c:valAx>
        <c:axId val="183070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'000</a:t>
                </a:r>
                <a:r>
                  <a:rPr lang="en-US" baseline="0"/>
                  <a:t> EUR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070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281595622706646E-3"/>
          <c:y val="0.81982105689802143"/>
          <c:w val="0.98801465549152379"/>
          <c:h val="0.168590641209426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Faktori i efikasititetit</a:t>
            </a:r>
            <a:r>
              <a:rPr lang="en-US" baseline="0"/>
              <a:t>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286137309759356E-2"/>
          <c:y val="0.24097548110915101"/>
          <c:w val="0.87708382606020396"/>
          <c:h val="0.65170615214308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OPEX!$D$64:$D$65</c:f>
              <c:strCache>
                <c:ptCount val="2"/>
                <c:pt idx="0">
                  <c:v>Opex fillestar</c:v>
                </c:pt>
                <c:pt idx="1">
                  <c:v>Opex mesatar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OPEX!$D$64:$D$65</c:f>
              <c:strCache>
                <c:ptCount val="2"/>
                <c:pt idx="0">
                  <c:v>Opex fillestar</c:v>
                </c:pt>
                <c:pt idx="1">
                  <c:v>Opex mesatar</c:v>
                </c:pt>
              </c:strCache>
            </c:strRef>
          </c:cat>
          <c:val>
            <c:numRef>
              <c:f>OPEX!$E$64:$E$65</c:f>
              <c:numCache>
                <c:formatCode>#,##0</c:formatCode>
                <c:ptCount val="2"/>
                <c:pt idx="0">
                  <c:v>3740.3287826404267</c:v>
                </c:pt>
                <c:pt idx="1">
                  <c:v>3670.7287826404267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72-438A-AC06-DDDC619B1C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0705680"/>
        <c:axId val="1830706224"/>
      </c:barChart>
      <c:catAx>
        <c:axId val="183070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0706224"/>
        <c:crosses val="autoZero"/>
        <c:auto val="1"/>
        <c:lblAlgn val="ctr"/>
        <c:lblOffset val="100"/>
        <c:noMultiLvlLbl val="0"/>
      </c:catAx>
      <c:valAx>
        <c:axId val="1830706224"/>
        <c:scaling>
          <c:orientation val="minMax"/>
          <c:max val="3800"/>
          <c:min val="33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€000</a:t>
                </a:r>
              </a:p>
            </c:rich>
          </c:tx>
          <c:layout>
            <c:manualLayout>
              <c:xMode val="edge"/>
              <c:yMode val="edge"/>
              <c:x val="8.1721601743394174E-3"/>
              <c:y val="0.100044327259708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0705680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8F51-523C-4A21-9D41-CB77D323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6910</Words>
  <Characters>39388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Ymer Rudari</dc:creator>
  <cp:keywords/>
  <dc:description/>
  <cp:lastModifiedBy>Adelina Murtezaj</cp:lastModifiedBy>
  <cp:revision>3</cp:revision>
  <cp:lastPrinted>2021-11-22T08:44:00Z</cp:lastPrinted>
  <dcterms:created xsi:type="dcterms:W3CDTF">2021-11-30T07:49:00Z</dcterms:created>
  <dcterms:modified xsi:type="dcterms:W3CDTF">2021-11-30T07:50:00Z</dcterms:modified>
</cp:coreProperties>
</file>