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C8" w:rsidRPr="00595263" w:rsidRDefault="009C78C8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bookmarkStart w:id="0" w:name="_GoBack"/>
      <w:bookmarkEnd w:id="0"/>
      <w:r w:rsidRPr="00595263">
        <w:rPr>
          <w:rFonts w:cstheme="minorHAnsi"/>
          <w:noProof w:val="0"/>
          <w:color w:val="000000"/>
          <w:sz w:val="24"/>
          <w:szCs w:val="24"/>
        </w:rPr>
        <w:t xml:space="preserve">   </w:t>
      </w:r>
      <w:r w:rsidRPr="00177432">
        <w:rPr>
          <w:rFonts w:cstheme="minorHAnsi"/>
          <w:sz w:val="24"/>
          <w:szCs w:val="24"/>
          <w:lang w:val="en-US"/>
        </w:rPr>
        <w:drawing>
          <wp:inline distT="0" distB="0" distL="0" distR="0" wp14:anchorId="20D82EC3" wp14:editId="2086A863">
            <wp:extent cx="1489325" cy="78500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47" cy="78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263">
        <w:rPr>
          <w:rFonts w:cstheme="minorHAnsi"/>
          <w:noProof w:val="0"/>
          <w:color w:val="000000"/>
          <w:sz w:val="24"/>
          <w:szCs w:val="24"/>
        </w:rPr>
        <w:tab/>
      </w:r>
      <w:r w:rsidRPr="00595263">
        <w:rPr>
          <w:rFonts w:cstheme="minorHAnsi"/>
          <w:noProof w:val="0"/>
          <w:color w:val="000000"/>
          <w:sz w:val="24"/>
          <w:szCs w:val="24"/>
        </w:rPr>
        <w:tab/>
      </w:r>
      <w:r w:rsidRPr="00595263">
        <w:rPr>
          <w:rFonts w:cstheme="minorHAnsi"/>
          <w:noProof w:val="0"/>
          <w:color w:val="000000"/>
          <w:sz w:val="24"/>
          <w:szCs w:val="24"/>
        </w:rPr>
        <w:tab/>
      </w:r>
      <w:r w:rsidRPr="00595263">
        <w:rPr>
          <w:rFonts w:cstheme="minorHAnsi"/>
          <w:noProof w:val="0"/>
          <w:color w:val="000000"/>
          <w:sz w:val="24"/>
          <w:szCs w:val="24"/>
        </w:rPr>
        <w:tab/>
      </w:r>
      <w:r w:rsidRPr="00595263">
        <w:rPr>
          <w:rFonts w:cstheme="minorHAnsi"/>
          <w:noProof w:val="0"/>
          <w:color w:val="000000"/>
          <w:sz w:val="24"/>
          <w:szCs w:val="24"/>
        </w:rPr>
        <w:tab/>
      </w:r>
      <w:r w:rsidRPr="00595263">
        <w:rPr>
          <w:rFonts w:cstheme="minorHAnsi"/>
          <w:noProof w:val="0"/>
          <w:color w:val="000000"/>
          <w:sz w:val="24"/>
          <w:szCs w:val="24"/>
        </w:rPr>
        <w:tab/>
      </w:r>
      <w:r w:rsidRPr="00595263">
        <w:rPr>
          <w:rFonts w:cstheme="minorHAnsi"/>
          <w:noProof w:val="0"/>
          <w:color w:val="000000"/>
          <w:sz w:val="24"/>
          <w:szCs w:val="24"/>
        </w:rPr>
        <w:tab/>
      </w:r>
      <w:r w:rsidRPr="00177432">
        <w:rPr>
          <w:rFonts w:cstheme="minorHAnsi"/>
          <w:sz w:val="24"/>
          <w:szCs w:val="24"/>
          <w:lang w:val="en-US"/>
        </w:rPr>
        <w:drawing>
          <wp:inline distT="0" distB="0" distL="0" distR="0" wp14:anchorId="68F6B01F" wp14:editId="5ACF88C3">
            <wp:extent cx="1173193" cy="740070"/>
            <wp:effectExtent l="0" t="0" r="8255" b="317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54" cy="74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03" w:rsidRPr="00595263" w:rsidRDefault="008C4203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8C4203" w:rsidRPr="00595263" w:rsidTr="008C4203">
        <w:trPr>
          <w:trHeight w:val="100"/>
        </w:trPr>
        <w:tc>
          <w:tcPr>
            <w:tcW w:w="9333" w:type="dxa"/>
            <w:tcBorders>
              <w:top w:val="single" w:sz="12" w:space="0" w:color="7F7F7F" w:themeColor="text1" w:themeTint="80"/>
            </w:tcBorders>
          </w:tcPr>
          <w:p w:rsidR="008C4203" w:rsidRPr="00595263" w:rsidRDefault="008C4203" w:rsidP="009A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9C78C8" w:rsidRPr="00595263" w:rsidRDefault="009C78C8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8C4203" w:rsidRDefault="008C4203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Pr="00595263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8C4203" w:rsidRPr="00595263" w:rsidRDefault="008C4203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8C4203" w:rsidRPr="00595263" w:rsidRDefault="008C4203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Pr="00595263" w:rsidRDefault="009F7FB1" w:rsidP="009F7F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595959" w:themeColor="text1" w:themeTint="A6"/>
          <w:sz w:val="44"/>
          <w:szCs w:val="24"/>
        </w:rPr>
      </w:pPr>
      <w:r>
        <w:rPr>
          <w:b/>
          <w:bCs/>
          <w:color w:val="595959"/>
          <w:sz w:val="44"/>
          <w:szCs w:val="44"/>
          <w:lang w:val="en-US"/>
        </w:rPr>
        <w:t>Metodologjia për rregullat për dimensionimin e FRR në Bllokun LFC AK ne përputhje me Artikullin 157(1) të Rregullores së Komisionit (EU) 2017/1485 të datës 2 Gushtit 2017 mbi  themelimin e udhëzuesit për operimin e sistemit transmetues</w:t>
      </w:r>
      <w:r w:rsidRPr="00595263">
        <w:rPr>
          <w:rFonts w:cstheme="minorHAnsi"/>
          <w:b/>
          <w:bCs/>
          <w:noProof w:val="0"/>
          <w:color w:val="595959" w:themeColor="text1" w:themeTint="A6"/>
          <w:sz w:val="44"/>
          <w:szCs w:val="24"/>
        </w:rPr>
        <w:t xml:space="preserve"> </w:t>
      </w:r>
    </w:p>
    <w:p w:rsidR="009C78C8" w:rsidRPr="00595263" w:rsidRDefault="009C78C8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8C4203" w:rsidRDefault="008C4203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7102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  <w:sz w:val="24"/>
          <w:szCs w:val="24"/>
        </w:rPr>
      </w:pPr>
      <w:r>
        <w:rPr>
          <w:rFonts w:cstheme="minorHAnsi"/>
          <w:noProof w:val="0"/>
          <w:color w:val="000000"/>
          <w:sz w:val="24"/>
          <w:szCs w:val="24"/>
        </w:rPr>
        <w:t>Gusht 2020</w:t>
      </w: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F7FB1" w:rsidRPr="00595263" w:rsidRDefault="009F7FB1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595263" w:rsidRDefault="009C78C8" w:rsidP="007102B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</w:p>
    <w:p w:rsidR="009C78C8" w:rsidRPr="00595263" w:rsidRDefault="009C78C8" w:rsidP="009A1ED3">
      <w:pPr>
        <w:jc w:val="both"/>
        <w:rPr>
          <w:rFonts w:cstheme="minorHAnsi"/>
          <w:sz w:val="24"/>
          <w:szCs w:val="24"/>
        </w:rPr>
      </w:pPr>
    </w:p>
    <w:p w:rsidR="00771AD7" w:rsidRPr="00595263" w:rsidRDefault="00771AD7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78C8" w:rsidRPr="009A1ED3" w:rsidRDefault="00595263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9A1ED3">
        <w:rPr>
          <w:rFonts w:cstheme="minorHAnsi"/>
          <w:noProof w:val="0"/>
          <w:color w:val="000000"/>
          <w:sz w:val="24"/>
          <w:szCs w:val="24"/>
        </w:rPr>
        <w:t xml:space="preserve">TSO-të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e Bllokut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1C52D7" w:rsidRPr="009A1ED3">
        <w:rPr>
          <w:rFonts w:cstheme="minorHAnsi"/>
          <w:noProof w:val="0"/>
          <w:color w:val="000000"/>
          <w:sz w:val="24"/>
          <w:szCs w:val="24"/>
        </w:rPr>
        <w:t xml:space="preserve"> duhet te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përcaktojnë kapacitetin rezervë të kërkuar për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FRR</w:t>
      </w:r>
      <w:r w:rsidR="00D54A3A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AC5B2A">
        <w:rPr>
          <w:rFonts w:cstheme="minorHAnsi"/>
          <w:noProof w:val="0"/>
          <w:color w:val="000000"/>
          <w:sz w:val="24"/>
          <w:szCs w:val="24"/>
        </w:rPr>
        <w:t>t</w:t>
      </w:r>
      <w:r w:rsidR="001C52D7" w:rsidRPr="009A1ED3">
        <w:rPr>
          <w:rFonts w:cstheme="minorHAnsi"/>
          <w:noProof w:val="0"/>
          <w:color w:val="000000"/>
          <w:sz w:val="24"/>
          <w:szCs w:val="24"/>
        </w:rPr>
        <w:t xml:space="preserve">ë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Bllokut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duke u bazuar në </w:t>
      </w:r>
      <w:r w:rsidR="00FA031F" w:rsidRPr="009A1ED3">
        <w:rPr>
          <w:rFonts w:cstheme="minorHAnsi"/>
          <w:noProof w:val="0"/>
          <w:color w:val="000000"/>
          <w:sz w:val="24"/>
          <w:szCs w:val="24"/>
        </w:rPr>
        <w:t xml:space="preserve">të dhënat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historike </w:t>
      </w:r>
      <w:r w:rsidR="001C52D7" w:rsidRPr="009A1ED3">
        <w:rPr>
          <w:rFonts w:cstheme="minorHAnsi"/>
          <w:noProof w:val="0"/>
          <w:color w:val="000000"/>
          <w:sz w:val="24"/>
          <w:szCs w:val="24"/>
        </w:rPr>
        <w:t xml:space="preserve">te viteve te kaluara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të cilat përmbajnë së paku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vlerat historike për </w:t>
      </w:r>
      <w:r w:rsidR="001C52D7" w:rsidRPr="009A1ED3">
        <w:rPr>
          <w:rFonts w:cstheme="minorHAnsi"/>
          <w:noProof w:val="0"/>
          <w:color w:val="000000"/>
          <w:sz w:val="24"/>
          <w:szCs w:val="24"/>
        </w:rPr>
        <w:t>dis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balancet e Bllokut</w:t>
      </w:r>
      <w:r w:rsidR="00F10FD0" w:rsidRPr="00F10FD0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F10FD0" w:rsidRPr="009A1ED3">
        <w:rPr>
          <w:rFonts w:cstheme="minorHAnsi"/>
          <w:noProof w:val="0"/>
          <w:color w:val="000000"/>
          <w:sz w:val="24"/>
          <w:szCs w:val="24"/>
        </w:rPr>
        <w:t>LFC</w:t>
      </w:r>
      <w:r w:rsidR="00F10FD0">
        <w:rPr>
          <w:rFonts w:cstheme="minorHAnsi"/>
          <w:noProof w:val="0"/>
          <w:color w:val="000000"/>
          <w:sz w:val="24"/>
          <w:szCs w:val="24"/>
        </w:rPr>
        <w:t xml:space="preserve"> 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.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Për këtë qëllim </w:t>
      </w:r>
      <w:r w:rsidR="00FA031F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përdoren të dhënat mesatare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>15-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minutëshe për peri</w:t>
      </w:r>
      <w:r w:rsidRPr="009A1ED3">
        <w:rPr>
          <w:rFonts w:cstheme="minorHAnsi"/>
          <w:noProof w:val="0"/>
          <w:color w:val="000000"/>
          <w:sz w:val="24"/>
          <w:szCs w:val="24"/>
        </w:rPr>
        <w:t>u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dhën kohore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ndërmjet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1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Korrikut të vitit paraprak dhe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30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Qershorit të vitit aktual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, </w:t>
      </w:r>
      <w:r w:rsidRPr="009A1ED3">
        <w:rPr>
          <w:rFonts w:cstheme="minorHAnsi"/>
          <w:noProof w:val="0"/>
          <w:color w:val="000000"/>
          <w:sz w:val="24"/>
          <w:szCs w:val="24"/>
        </w:rPr>
        <w:t>p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or në qoftë se të gjitha </w:t>
      </w:r>
      <w:r w:rsidR="001C52D7" w:rsidRPr="009A1ED3">
        <w:rPr>
          <w:rFonts w:cstheme="minorHAnsi"/>
          <w:noProof w:val="0"/>
          <w:color w:val="000000"/>
          <w:sz w:val="24"/>
          <w:szCs w:val="24"/>
        </w:rPr>
        <w:t xml:space="preserve">palët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dakordohen, mund të përdoret ndonjë periudhë tjetër kohore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.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Monitoruesi i Bllokut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 xml:space="preserve">është i obliguar që </w:t>
      </w:r>
      <w:r w:rsidR="00AC5B2A">
        <w:rPr>
          <w:rFonts w:cstheme="minorHAnsi"/>
          <w:noProof w:val="0"/>
          <w:color w:val="000000"/>
          <w:sz w:val="24"/>
          <w:szCs w:val="24"/>
        </w:rPr>
        <w:t xml:space="preserve">të </w:t>
      </w:r>
      <w:r w:rsidR="00BB1CB4" w:rsidRPr="009A1ED3">
        <w:rPr>
          <w:rFonts w:cstheme="minorHAnsi"/>
          <w:noProof w:val="0"/>
          <w:color w:val="000000"/>
          <w:sz w:val="24"/>
          <w:szCs w:val="24"/>
        </w:rPr>
        <w:t>bëj grumbullimin e këtyre të dhënave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.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DE7D64" w:rsidRDefault="00BB1CB4" w:rsidP="00DE7D6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17B5E">
        <w:rPr>
          <w:rFonts w:asciiTheme="minorHAnsi" w:hAnsiTheme="minorHAnsi" w:cstheme="minorHAnsi"/>
        </w:rPr>
        <w:t xml:space="preserve">Të </w:t>
      </w:r>
      <w:r w:rsidR="00817B5E" w:rsidRPr="00817B5E">
        <w:rPr>
          <w:rFonts w:asciiTheme="minorHAnsi" w:hAnsiTheme="minorHAnsi" w:cstheme="minorHAnsi"/>
        </w:rPr>
        <w:t xml:space="preserve">gjitha </w:t>
      </w:r>
      <w:r w:rsidRPr="00817B5E">
        <w:rPr>
          <w:rFonts w:asciiTheme="minorHAnsi" w:hAnsiTheme="minorHAnsi" w:cstheme="minorHAnsi"/>
        </w:rPr>
        <w:t>TSO-të e Bllokut</w:t>
      </w:r>
      <w:r w:rsidR="009C78C8" w:rsidRPr="00817B5E">
        <w:rPr>
          <w:rFonts w:asciiTheme="minorHAnsi" w:hAnsiTheme="minorHAnsi" w:cstheme="minorHAnsi"/>
        </w:rPr>
        <w:t xml:space="preserve"> LFC </w:t>
      </w:r>
      <w:r w:rsidR="008C4203" w:rsidRPr="00817B5E">
        <w:rPr>
          <w:rFonts w:asciiTheme="minorHAnsi" w:hAnsiTheme="minorHAnsi" w:cstheme="minorHAnsi"/>
        </w:rPr>
        <w:t>AK</w:t>
      </w:r>
      <w:r w:rsidR="009C78C8" w:rsidRPr="00817B5E">
        <w:rPr>
          <w:rFonts w:asciiTheme="minorHAnsi" w:hAnsiTheme="minorHAnsi" w:cstheme="minorHAnsi"/>
        </w:rPr>
        <w:t xml:space="preserve"> </w:t>
      </w:r>
      <w:r w:rsidRPr="00817B5E">
        <w:rPr>
          <w:rFonts w:asciiTheme="minorHAnsi" w:hAnsiTheme="minorHAnsi" w:cstheme="minorHAnsi"/>
        </w:rPr>
        <w:t>përcaktojnë kapacitetin rezervë për</w:t>
      </w:r>
      <w:r w:rsidR="009C78C8" w:rsidRPr="00817B5E">
        <w:rPr>
          <w:rFonts w:asciiTheme="minorHAnsi" w:hAnsiTheme="minorHAnsi" w:cstheme="minorHAnsi"/>
        </w:rPr>
        <w:t xml:space="preserve"> FRR </w:t>
      </w:r>
      <w:r w:rsidR="00817B5E" w:rsidRPr="00817B5E">
        <w:rPr>
          <w:rFonts w:asciiTheme="minorHAnsi" w:hAnsiTheme="minorHAnsi" w:cstheme="minorHAnsi"/>
        </w:rPr>
        <w:t>qe</w:t>
      </w:r>
      <w:r w:rsidR="001C52D7" w:rsidRPr="00817B5E">
        <w:rPr>
          <w:rFonts w:asciiTheme="minorHAnsi" w:hAnsiTheme="minorHAnsi" w:cstheme="minorHAnsi"/>
        </w:rPr>
        <w:t xml:space="preserve"> </w:t>
      </w:r>
      <w:r w:rsidR="00817B5E" w:rsidRPr="00817B5E">
        <w:rPr>
          <w:rFonts w:asciiTheme="minorHAnsi" w:hAnsiTheme="minorHAnsi" w:cstheme="minorHAnsi"/>
        </w:rPr>
        <w:t xml:space="preserve">është e mjaftueshme për të respektuar parametrat aktual të synuar të FRCE </w:t>
      </w:r>
      <w:r w:rsidRPr="00817B5E">
        <w:rPr>
          <w:rFonts w:asciiTheme="minorHAnsi" w:hAnsiTheme="minorHAnsi" w:cstheme="minorHAnsi"/>
        </w:rPr>
        <w:t>në përputhje me marrëveshjen</w:t>
      </w:r>
      <w:r w:rsidR="009C78C8" w:rsidRPr="00817B5E">
        <w:rPr>
          <w:rFonts w:asciiTheme="minorHAnsi" w:hAnsiTheme="minorHAnsi" w:cstheme="minorHAnsi"/>
        </w:rPr>
        <w:t xml:space="preserve"> „</w:t>
      </w:r>
      <w:r w:rsidR="00AC5B2A">
        <w:rPr>
          <w:rFonts w:asciiTheme="minorHAnsi" w:hAnsiTheme="minorHAnsi" w:cstheme="minorHAnsi"/>
        </w:rPr>
        <w:t>M</w:t>
      </w:r>
      <w:r w:rsidR="00817B5E" w:rsidRPr="00DE7D64">
        <w:rPr>
          <w:rFonts w:asciiTheme="minorHAnsi" w:hAnsiTheme="minorHAnsi" w:cstheme="minorHAnsi"/>
        </w:rPr>
        <w:t xml:space="preserve">arrëveshja e te gjitha e TSO-ve të </w:t>
      </w:r>
      <w:r w:rsidR="00BB52B4" w:rsidRPr="00BB52B4">
        <w:rPr>
          <w:rFonts w:asciiTheme="minorHAnsi" w:hAnsiTheme="minorHAnsi" w:cstheme="minorHAnsi"/>
        </w:rPr>
        <w:t>E</w:t>
      </w:r>
      <w:r w:rsidR="00AC5B2A">
        <w:rPr>
          <w:rFonts w:asciiTheme="minorHAnsi" w:hAnsiTheme="minorHAnsi" w:cstheme="minorHAnsi"/>
        </w:rPr>
        <w:t>v</w:t>
      </w:r>
      <w:r w:rsidR="00BB52B4" w:rsidRPr="00BB52B4">
        <w:rPr>
          <w:rFonts w:asciiTheme="minorHAnsi" w:hAnsiTheme="minorHAnsi" w:cstheme="minorHAnsi"/>
        </w:rPr>
        <w:t>ropë</w:t>
      </w:r>
      <w:r w:rsidR="00BB52B4">
        <w:rPr>
          <w:rFonts w:asciiTheme="minorHAnsi" w:hAnsiTheme="minorHAnsi" w:cstheme="minorHAnsi"/>
        </w:rPr>
        <w:t>s</w:t>
      </w:r>
      <w:r w:rsidR="00817B5E" w:rsidRPr="00DE7D64">
        <w:rPr>
          <w:rFonts w:asciiTheme="minorHAnsi" w:hAnsiTheme="minorHAnsi" w:cstheme="minorHAnsi"/>
        </w:rPr>
        <w:t xml:space="preserve"> Kontinentale (CE) </w:t>
      </w:r>
      <w:r w:rsidR="00BB52B4" w:rsidRPr="00BB52B4">
        <w:rPr>
          <w:rFonts w:asciiTheme="minorHAnsi" w:hAnsiTheme="minorHAnsi" w:cstheme="minorHAnsi"/>
        </w:rPr>
        <w:t>për parametrat  e synuar për restaurimin e gabimit të rregullimit të frekuencës</w:t>
      </w:r>
      <w:r w:rsidR="00817B5E" w:rsidRPr="00DE7D64">
        <w:rPr>
          <w:rFonts w:asciiTheme="minorHAnsi" w:hAnsiTheme="minorHAnsi" w:cstheme="minorHAnsi"/>
        </w:rPr>
        <w:t xml:space="preserve">, në përputhje me nenin 128 dhe nenin 131 të Rregullores së Komisionit (BE) 2017/1485 të datës 2 gusht, për krijimin e </w:t>
      </w:r>
      <w:r w:rsidR="00A3383F">
        <w:rPr>
          <w:rFonts w:asciiTheme="minorHAnsi" w:hAnsiTheme="minorHAnsi" w:cstheme="minorHAnsi"/>
        </w:rPr>
        <w:t xml:space="preserve"> U</w:t>
      </w:r>
      <w:r w:rsidR="00817B5E" w:rsidRPr="00DE7D64">
        <w:rPr>
          <w:rFonts w:asciiTheme="minorHAnsi" w:hAnsiTheme="minorHAnsi" w:cstheme="minorHAnsi"/>
        </w:rPr>
        <w:t>dhëzimi</w:t>
      </w:r>
      <w:r w:rsidR="00A3383F">
        <w:rPr>
          <w:rFonts w:asciiTheme="minorHAnsi" w:hAnsiTheme="minorHAnsi" w:cstheme="minorHAnsi"/>
        </w:rPr>
        <w:t>t</w:t>
      </w:r>
      <w:r w:rsidR="00817B5E" w:rsidRPr="00DE7D64">
        <w:rPr>
          <w:rFonts w:asciiTheme="minorHAnsi" w:hAnsiTheme="minorHAnsi" w:cstheme="minorHAnsi"/>
        </w:rPr>
        <w:t xml:space="preserve"> për funksionimin e sistemit të transmetimit të energjisë</w:t>
      </w:r>
      <w:r w:rsidR="00A3383F">
        <w:rPr>
          <w:rFonts w:asciiTheme="minorHAnsi" w:hAnsiTheme="minorHAnsi" w:cstheme="minorHAnsi"/>
        </w:rPr>
        <w:t xml:space="preserve"> elektrike</w:t>
      </w:r>
      <w:r w:rsidR="00AC5B2A">
        <w:rPr>
          <w:rFonts w:asciiTheme="minorHAnsi" w:hAnsiTheme="minorHAnsi" w:cstheme="minorHAnsi"/>
        </w:rPr>
        <w:t xml:space="preserve"> </w:t>
      </w:r>
      <w:r w:rsidR="00BB52B4" w:rsidRPr="00DE7D64">
        <w:rPr>
          <w:rFonts w:asciiTheme="minorHAnsi" w:hAnsiTheme="minorHAnsi" w:cstheme="minorHAnsi"/>
        </w:rPr>
        <w:t>(</w:t>
      </w:r>
      <w:r w:rsidR="00817B5E" w:rsidRPr="009A1ED3">
        <w:rPr>
          <w:rFonts w:asciiTheme="minorHAnsi" w:hAnsiTheme="minorHAnsi" w:cstheme="minorHAnsi"/>
        </w:rPr>
        <w:t xml:space="preserve">All CE TSOs’ </w:t>
      </w:r>
      <w:r w:rsidR="00A3383F">
        <w:rPr>
          <w:rFonts w:asciiTheme="minorHAnsi" w:hAnsiTheme="minorHAnsi" w:cstheme="minorHAnsi"/>
        </w:rPr>
        <w:t>A</w:t>
      </w:r>
      <w:r w:rsidR="00817B5E" w:rsidRPr="009A1ED3">
        <w:rPr>
          <w:rFonts w:asciiTheme="minorHAnsi" w:hAnsiTheme="minorHAnsi" w:cstheme="minorHAnsi"/>
        </w:rPr>
        <w:t xml:space="preserve">greement on frequency restoration control error target parameters in accordance with Article 128 and Article 131 of the Commission Regulation (EU) 2017/1485 of 2 August establishing a </w:t>
      </w:r>
      <w:r w:rsidR="00A3383F">
        <w:rPr>
          <w:rFonts w:asciiTheme="minorHAnsi" w:hAnsiTheme="minorHAnsi" w:cstheme="minorHAnsi"/>
        </w:rPr>
        <w:t>G</w:t>
      </w:r>
      <w:r w:rsidR="00817B5E" w:rsidRPr="009A1ED3">
        <w:rPr>
          <w:rFonts w:asciiTheme="minorHAnsi" w:hAnsiTheme="minorHAnsi" w:cstheme="minorHAnsi"/>
        </w:rPr>
        <w:t>uideline on electricity transmission system operation</w:t>
      </w:r>
      <w:r w:rsidR="00817B5E" w:rsidRPr="00DE7D64">
        <w:rPr>
          <w:rFonts w:asciiTheme="minorHAnsi" w:hAnsiTheme="minorHAnsi" w:cstheme="minorHAnsi"/>
        </w:rPr>
        <w:t>“</w:t>
      </w:r>
      <w:r w:rsidR="00BB52B4" w:rsidRPr="00DE7D64">
        <w:rPr>
          <w:rFonts w:asciiTheme="minorHAnsi" w:hAnsiTheme="minorHAnsi" w:cstheme="minorHAnsi"/>
        </w:rPr>
        <w:t>)</w:t>
      </w:r>
      <w:r w:rsidR="00817B5E" w:rsidRPr="00DE7D64">
        <w:rPr>
          <w:rFonts w:asciiTheme="minorHAnsi" w:hAnsiTheme="minorHAnsi" w:cstheme="minorHAnsi"/>
        </w:rPr>
        <w:t xml:space="preserve"> </w:t>
      </w:r>
      <w:r w:rsidR="00D238D4" w:rsidRPr="00BB52B4">
        <w:rPr>
          <w:rFonts w:asciiTheme="minorHAnsi" w:hAnsiTheme="minorHAnsi" w:cstheme="minorHAnsi"/>
        </w:rPr>
        <w:t xml:space="preserve">për periudhën kohore të </w:t>
      </w:r>
      <w:r w:rsidR="00595263" w:rsidRPr="00BB52B4">
        <w:rPr>
          <w:rFonts w:asciiTheme="minorHAnsi" w:hAnsiTheme="minorHAnsi" w:cstheme="minorHAnsi"/>
        </w:rPr>
        <w:t>referuar</w:t>
      </w:r>
      <w:r w:rsidR="00D238D4" w:rsidRPr="00BB52B4">
        <w:rPr>
          <w:rFonts w:asciiTheme="minorHAnsi" w:hAnsiTheme="minorHAnsi" w:cstheme="minorHAnsi"/>
        </w:rPr>
        <w:t xml:space="preserve"> në paragrafin e parë</w:t>
      </w:r>
      <w:r w:rsidR="009C78C8" w:rsidRPr="00BB52B4">
        <w:rPr>
          <w:rFonts w:asciiTheme="minorHAnsi" w:hAnsiTheme="minorHAnsi" w:cstheme="minorHAnsi"/>
        </w:rPr>
        <w:t xml:space="preserve"> </w:t>
      </w:r>
      <w:r w:rsidR="00D238D4" w:rsidRPr="00BB52B4">
        <w:rPr>
          <w:rFonts w:asciiTheme="minorHAnsi" w:hAnsiTheme="minorHAnsi" w:cstheme="minorHAnsi"/>
        </w:rPr>
        <w:t xml:space="preserve">duke u bazuar së paku në një </w:t>
      </w:r>
      <w:r w:rsidR="00595263" w:rsidRPr="00BB52B4">
        <w:rPr>
          <w:rFonts w:asciiTheme="minorHAnsi" w:hAnsiTheme="minorHAnsi" w:cstheme="minorHAnsi"/>
        </w:rPr>
        <w:t>metodologji</w:t>
      </w:r>
      <w:r w:rsidR="009C78C8" w:rsidRPr="00BB52B4">
        <w:rPr>
          <w:rFonts w:asciiTheme="minorHAnsi" w:hAnsiTheme="minorHAnsi" w:cstheme="minorHAnsi"/>
        </w:rPr>
        <w:t xml:space="preserve"> </w:t>
      </w:r>
      <w:r w:rsidR="00D238D4" w:rsidRPr="00BB52B4">
        <w:rPr>
          <w:rFonts w:asciiTheme="minorHAnsi" w:hAnsiTheme="minorHAnsi" w:cstheme="minorHAnsi"/>
        </w:rPr>
        <w:t>probabilistike</w:t>
      </w:r>
      <w:r w:rsidR="009C78C8" w:rsidRPr="00BB52B4">
        <w:rPr>
          <w:rFonts w:asciiTheme="minorHAnsi" w:hAnsiTheme="minorHAnsi" w:cstheme="minorHAnsi"/>
        </w:rPr>
        <w:t xml:space="preserve">. </w:t>
      </w:r>
      <w:r w:rsidR="00D238D4" w:rsidRPr="00BB52B4">
        <w:rPr>
          <w:rFonts w:asciiTheme="minorHAnsi" w:hAnsiTheme="minorHAnsi" w:cstheme="minorHAnsi"/>
        </w:rPr>
        <w:t>Përveç metodologjisë probabilistike</w:t>
      </w:r>
      <w:r w:rsidR="009C78C8" w:rsidRPr="00BB52B4">
        <w:rPr>
          <w:rFonts w:asciiTheme="minorHAnsi" w:hAnsiTheme="minorHAnsi" w:cstheme="minorHAnsi"/>
        </w:rPr>
        <w:t xml:space="preserve">, </w:t>
      </w:r>
      <w:r w:rsidR="00D238D4" w:rsidRPr="00BB52B4">
        <w:rPr>
          <w:rFonts w:asciiTheme="minorHAnsi" w:hAnsiTheme="minorHAnsi" w:cstheme="minorHAnsi"/>
        </w:rPr>
        <w:t>kapaciteti rezervë i kërkuar i</w:t>
      </w:r>
      <w:r w:rsidR="009C78C8" w:rsidRPr="00BB52B4">
        <w:rPr>
          <w:rFonts w:asciiTheme="minorHAnsi" w:hAnsiTheme="minorHAnsi" w:cstheme="minorHAnsi"/>
        </w:rPr>
        <w:t xml:space="preserve"> FRR </w:t>
      </w:r>
      <w:r w:rsidR="00D238D4" w:rsidRPr="00BB52B4">
        <w:rPr>
          <w:rFonts w:asciiTheme="minorHAnsi" w:hAnsiTheme="minorHAnsi" w:cstheme="minorHAnsi"/>
        </w:rPr>
        <w:t>nuk mund të jetë më i vogël se</w:t>
      </w:r>
      <w:r w:rsidR="009C78C8" w:rsidRPr="00BB52B4">
        <w:rPr>
          <w:rFonts w:asciiTheme="minorHAnsi" w:hAnsiTheme="minorHAnsi" w:cstheme="minorHAnsi"/>
        </w:rPr>
        <w:t xml:space="preserve"> </w:t>
      </w:r>
      <w:r w:rsidR="00D238D4" w:rsidRPr="00BB52B4">
        <w:rPr>
          <w:rFonts w:asciiTheme="minorHAnsi" w:hAnsiTheme="minorHAnsi" w:cstheme="minorHAnsi"/>
        </w:rPr>
        <w:t>incidenti referent</w:t>
      </w:r>
      <w:r w:rsidR="009C78C8" w:rsidRPr="00BB52B4">
        <w:rPr>
          <w:rFonts w:asciiTheme="minorHAnsi" w:hAnsiTheme="minorHAnsi" w:cstheme="minorHAnsi"/>
        </w:rPr>
        <w:t xml:space="preserve"> </w:t>
      </w:r>
      <w:r w:rsidR="00D238D4" w:rsidRPr="00BB52B4">
        <w:rPr>
          <w:rFonts w:asciiTheme="minorHAnsi" w:hAnsiTheme="minorHAnsi" w:cstheme="minorHAnsi"/>
        </w:rPr>
        <w:t>për kah</w:t>
      </w:r>
      <w:r w:rsidR="00E23C2E" w:rsidRPr="00BB52B4">
        <w:rPr>
          <w:rFonts w:asciiTheme="minorHAnsi" w:hAnsiTheme="minorHAnsi" w:cstheme="minorHAnsi"/>
        </w:rPr>
        <w:t>j</w:t>
      </w:r>
      <w:r w:rsidR="00601A0A" w:rsidRPr="00BB52B4">
        <w:rPr>
          <w:rFonts w:asciiTheme="minorHAnsi" w:hAnsiTheme="minorHAnsi" w:cstheme="minorHAnsi"/>
        </w:rPr>
        <w:t>e</w:t>
      </w:r>
      <w:r w:rsidR="00D238D4" w:rsidRPr="00BB52B4">
        <w:rPr>
          <w:rFonts w:asciiTheme="minorHAnsi" w:hAnsiTheme="minorHAnsi" w:cstheme="minorHAnsi"/>
        </w:rPr>
        <w:t>n</w:t>
      </w:r>
      <w:r w:rsidR="00595263" w:rsidRPr="00BB52B4">
        <w:rPr>
          <w:rFonts w:asciiTheme="minorHAnsi" w:hAnsiTheme="minorHAnsi" w:cstheme="minorHAnsi"/>
        </w:rPr>
        <w:t xml:space="preserve"> </w:t>
      </w:r>
      <w:r w:rsidR="00E23C2E" w:rsidRPr="00BB52B4">
        <w:rPr>
          <w:rFonts w:asciiTheme="minorHAnsi" w:hAnsiTheme="minorHAnsi" w:cstheme="minorHAnsi"/>
        </w:rPr>
        <w:t xml:space="preserve"> përkatëse</w:t>
      </w:r>
      <w:r w:rsidR="009C78C8" w:rsidRPr="00BB52B4">
        <w:rPr>
          <w:rFonts w:asciiTheme="minorHAnsi" w:hAnsiTheme="minorHAnsi" w:cstheme="minorHAnsi"/>
        </w:rPr>
        <w:t xml:space="preserve">. </w:t>
      </w:r>
    </w:p>
    <w:p w:rsidR="009C78C8" w:rsidRPr="00595263" w:rsidRDefault="009C78C8" w:rsidP="009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9A1ED3" w:rsidRDefault="00D238D4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9A1ED3">
        <w:rPr>
          <w:rFonts w:cstheme="minorHAnsi"/>
          <w:noProof w:val="0"/>
          <w:color w:val="000000"/>
          <w:sz w:val="24"/>
          <w:szCs w:val="24"/>
        </w:rPr>
        <w:t xml:space="preserve">Incidenti pozitiv për dimensionim </w:t>
      </w:r>
      <w:r w:rsidR="00D12D47">
        <w:rPr>
          <w:rFonts w:cstheme="minorHAnsi"/>
          <w:noProof w:val="0"/>
          <w:color w:val="000000"/>
          <w:sz w:val="24"/>
          <w:szCs w:val="24"/>
        </w:rPr>
        <w:t>t</w:t>
      </w:r>
      <w:r w:rsidRPr="009A1ED3">
        <w:rPr>
          <w:rFonts w:cstheme="minorHAnsi"/>
          <w:noProof w:val="0"/>
          <w:color w:val="000000"/>
          <w:sz w:val="24"/>
          <w:szCs w:val="24"/>
        </w:rPr>
        <w:t>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FRR </w:t>
      </w:r>
      <w:r w:rsidRPr="009A1ED3">
        <w:rPr>
          <w:rFonts w:cstheme="minorHAnsi"/>
          <w:noProof w:val="0"/>
          <w:color w:val="000000"/>
          <w:sz w:val="24"/>
          <w:szCs w:val="24"/>
        </w:rPr>
        <w:t>të Bllokut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është i barabartë me rënien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 e modulit më të madh gjenerues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>në Bllokun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F10FD0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,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në përputhje me Artikullin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157(2.d) të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SO GL.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9A1ED3" w:rsidRDefault="00DD3A67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9A1ED3">
        <w:rPr>
          <w:rFonts w:cstheme="minorHAnsi"/>
          <w:noProof w:val="0"/>
          <w:color w:val="000000"/>
          <w:sz w:val="24"/>
          <w:szCs w:val="24"/>
        </w:rPr>
        <w:t xml:space="preserve">Incidenti negativ për dimensionim </w:t>
      </w:r>
      <w:r w:rsidR="00D12D47">
        <w:rPr>
          <w:rFonts w:cstheme="minorHAnsi"/>
          <w:noProof w:val="0"/>
          <w:color w:val="000000"/>
          <w:sz w:val="24"/>
          <w:szCs w:val="24"/>
        </w:rPr>
        <w:t>t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e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FRR </w:t>
      </w:r>
      <w:r w:rsidRPr="009A1ED3">
        <w:rPr>
          <w:rFonts w:cstheme="minorHAnsi"/>
          <w:noProof w:val="0"/>
          <w:color w:val="000000"/>
          <w:sz w:val="24"/>
          <w:szCs w:val="24"/>
        </w:rPr>
        <w:t>të Bllokut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F10FD0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është i barabartë me rënien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4D4CB8" w:rsidRPr="009A1ED3">
        <w:rPr>
          <w:rFonts w:cstheme="minorHAnsi"/>
          <w:noProof w:val="0"/>
          <w:color w:val="000000"/>
          <w:sz w:val="24"/>
          <w:szCs w:val="24"/>
        </w:rPr>
        <w:t xml:space="preserve"> e </w:t>
      </w:r>
      <w:r w:rsidR="00E23C2E" w:rsidRPr="009A1ED3">
        <w:rPr>
          <w:rFonts w:cstheme="minorHAnsi"/>
          <w:noProof w:val="0"/>
          <w:color w:val="000000"/>
          <w:sz w:val="24"/>
          <w:szCs w:val="24"/>
        </w:rPr>
        <w:t>s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tabilimentit më të madh të </w:t>
      </w:r>
      <w:r w:rsidR="00DE7D64" w:rsidRPr="009A1ED3">
        <w:rPr>
          <w:rFonts w:cstheme="minorHAnsi"/>
          <w:noProof w:val="0"/>
          <w:color w:val="000000"/>
          <w:sz w:val="24"/>
          <w:szCs w:val="24"/>
        </w:rPr>
        <w:t>konsum</w:t>
      </w:r>
      <w:r w:rsidR="00DE7D64">
        <w:rPr>
          <w:rFonts w:cstheme="minorHAnsi"/>
          <w:noProof w:val="0"/>
          <w:color w:val="000000"/>
          <w:sz w:val="24"/>
          <w:szCs w:val="24"/>
        </w:rPr>
        <w:t>i</w:t>
      </w:r>
      <w:r w:rsidR="00DE7D64" w:rsidRPr="009A1ED3">
        <w:rPr>
          <w:rFonts w:cstheme="minorHAnsi"/>
          <w:noProof w:val="0"/>
          <w:color w:val="000000"/>
          <w:sz w:val="24"/>
          <w:szCs w:val="24"/>
        </w:rPr>
        <w:t xml:space="preserve">t </w:t>
      </w:r>
      <w:r w:rsidRPr="009A1ED3">
        <w:rPr>
          <w:rFonts w:cstheme="minorHAnsi"/>
          <w:noProof w:val="0"/>
          <w:color w:val="000000"/>
          <w:sz w:val="24"/>
          <w:szCs w:val="24"/>
        </w:rPr>
        <w:t>në Bllokun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F10FD0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, </w:t>
      </w:r>
      <w:r w:rsidRPr="009A1ED3">
        <w:rPr>
          <w:rFonts w:cstheme="minorHAnsi"/>
          <w:noProof w:val="0"/>
          <w:color w:val="000000"/>
          <w:sz w:val="24"/>
          <w:szCs w:val="24"/>
        </w:rPr>
        <w:t>në përputhje me Artikullin  157(2.d) të SO GL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.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9A1ED3" w:rsidRDefault="00DD3A67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9A1ED3">
        <w:rPr>
          <w:rFonts w:cstheme="minorHAnsi"/>
          <w:noProof w:val="0"/>
          <w:color w:val="000000"/>
          <w:sz w:val="24"/>
          <w:szCs w:val="24"/>
        </w:rPr>
        <w:t xml:space="preserve">Incidenti pozitiv për dimensionimin e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FRR </w:t>
      </w:r>
      <w:r w:rsidRPr="009A1ED3">
        <w:rPr>
          <w:rFonts w:cstheme="minorHAnsi"/>
          <w:noProof w:val="0"/>
          <w:color w:val="000000"/>
          <w:sz w:val="24"/>
          <w:szCs w:val="24"/>
        </w:rPr>
        <w:t>për secilin</w:t>
      </w:r>
      <w:r w:rsidR="00595263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TSO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është i barabartë me rënien e modulit më të madh gjenerues të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>TSO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 përkatëse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, </w:t>
      </w:r>
      <w:r w:rsidRPr="009A1ED3">
        <w:rPr>
          <w:rFonts w:cstheme="minorHAnsi"/>
          <w:noProof w:val="0"/>
          <w:color w:val="000000"/>
          <w:sz w:val="24"/>
          <w:szCs w:val="24"/>
        </w:rPr>
        <w:t>në përputhje me Artikullin  157(2.d) të SO GL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.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9A1ED3" w:rsidRDefault="00DD3A67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9A1ED3">
        <w:rPr>
          <w:rFonts w:cstheme="minorHAnsi"/>
          <w:noProof w:val="0"/>
          <w:color w:val="000000"/>
          <w:sz w:val="24"/>
          <w:szCs w:val="24"/>
        </w:rPr>
        <w:t xml:space="preserve">Incidenti negativ për dimensionimin e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FRR </w:t>
      </w:r>
      <w:r w:rsidRPr="009A1ED3">
        <w:rPr>
          <w:rFonts w:cstheme="minorHAnsi"/>
          <w:noProof w:val="0"/>
          <w:color w:val="000000"/>
          <w:sz w:val="24"/>
          <w:szCs w:val="24"/>
        </w:rPr>
        <w:t>për secilin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TSO </w:t>
      </w:r>
      <w:r w:rsidRPr="009A1ED3">
        <w:rPr>
          <w:rFonts w:cstheme="minorHAnsi"/>
          <w:noProof w:val="0"/>
          <w:color w:val="000000"/>
          <w:sz w:val="24"/>
          <w:szCs w:val="24"/>
        </w:rPr>
        <w:t>është i barabartë me rënien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E23C2E" w:rsidRPr="009A1ED3">
        <w:rPr>
          <w:rFonts w:cstheme="minorHAnsi"/>
          <w:noProof w:val="0"/>
          <w:color w:val="000000"/>
          <w:sz w:val="24"/>
          <w:szCs w:val="24"/>
        </w:rPr>
        <w:t>s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tabilimentit më të madh të </w:t>
      </w:r>
      <w:r w:rsidR="00E23C2E" w:rsidRPr="009A1ED3">
        <w:rPr>
          <w:rFonts w:cstheme="minorHAnsi"/>
          <w:noProof w:val="0"/>
          <w:color w:val="000000"/>
          <w:sz w:val="24"/>
          <w:szCs w:val="24"/>
        </w:rPr>
        <w:t>k</w:t>
      </w:r>
      <w:r w:rsidRPr="009A1ED3">
        <w:rPr>
          <w:rFonts w:cstheme="minorHAnsi"/>
          <w:noProof w:val="0"/>
          <w:color w:val="000000"/>
          <w:sz w:val="24"/>
          <w:szCs w:val="24"/>
        </w:rPr>
        <w:t>onsumatorit</w:t>
      </w:r>
      <w:r w:rsidRPr="009A1ED3" w:rsidDel="00DD3A67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të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>TSO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 përkatëse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, </w:t>
      </w:r>
      <w:r w:rsidRPr="009A1ED3">
        <w:rPr>
          <w:rFonts w:cstheme="minorHAnsi"/>
          <w:noProof w:val="0"/>
          <w:color w:val="000000"/>
          <w:sz w:val="24"/>
          <w:szCs w:val="24"/>
        </w:rPr>
        <w:t>në përputhje me Artikullin  157(2.d) të SO GL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.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BB52B4" w:rsidRPr="009A1ED3" w:rsidRDefault="00DD3A67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9A1ED3">
        <w:rPr>
          <w:rFonts w:cstheme="minorHAnsi"/>
          <w:noProof w:val="0"/>
          <w:color w:val="000000"/>
          <w:sz w:val="24"/>
          <w:szCs w:val="24"/>
        </w:rPr>
        <w:lastRenderedPageBreak/>
        <w:t xml:space="preserve">Të 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gjitha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>TSO</w:t>
      </w:r>
      <w:r w:rsidRPr="009A1ED3">
        <w:rPr>
          <w:rFonts w:cstheme="minorHAnsi"/>
          <w:noProof w:val="0"/>
          <w:color w:val="000000"/>
          <w:sz w:val="24"/>
          <w:szCs w:val="24"/>
        </w:rPr>
        <w:t>-të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e Bllokut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F10FD0" w:rsidRPr="009A1ED3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duhet të sigurohen që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 kapaciteti i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52B4" w:rsidRPr="00BB52B4">
        <w:rPr>
          <w:rFonts w:cstheme="minorHAnsi"/>
          <w:noProof w:val="0"/>
          <w:color w:val="000000"/>
          <w:sz w:val="24"/>
          <w:szCs w:val="24"/>
        </w:rPr>
        <w:t>rezervës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pozitive</w:t>
      </w:r>
      <w:r w:rsidR="00DE7D64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për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FRR </w:t>
      </w:r>
      <w:r w:rsidR="00595263" w:rsidRPr="009A1ED3">
        <w:rPr>
          <w:rFonts w:cstheme="minorHAnsi"/>
          <w:noProof w:val="0"/>
          <w:color w:val="000000"/>
          <w:sz w:val="24"/>
          <w:szCs w:val="24"/>
        </w:rPr>
        <w:t xml:space="preserve">është 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i mjaftueshëm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për mbulimin e 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>dis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balanceve pozitive të 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Pr="009A1ED3">
        <w:rPr>
          <w:rFonts w:cstheme="minorHAnsi"/>
          <w:noProof w:val="0"/>
          <w:color w:val="000000"/>
          <w:sz w:val="24"/>
          <w:szCs w:val="24"/>
        </w:rPr>
        <w:t>Bllokut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së paku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99 % </w:t>
      </w:r>
      <w:r w:rsidRPr="009A1ED3">
        <w:rPr>
          <w:rFonts w:cstheme="minorHAnsi"/>
          <w:noProof w:val="0"/>
          <w:color w:val="000000"/>
          <w:sz w:val="24"/>
          <w:szCs w:val="24"/>
        </w:rPr>
        <w:t>të kohës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,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duke u bazuar në </w:t>
      </w:r>
      <w:r w:rsidR="00E23C2E" w:rsidRPr="009A1ED3">
        <w:rPr>
          <w:rFonts w:cstheme="minorHAnsi"/>
          <w:noProof w:val="0"/>
          <w:color w:val="000000"/>
          <w:sz w:val="24"/>
          <w:szCs w:val="24"/>
        </w:rPr>
        <w:t xml:space="preserve">të dhënat  </w:t>
      </w:r>
      <w:r w:rsidRPr="009A1ED3">
        <w:rPr>
          <w:rFonts w:cstheme="minorHAnsi"/>
          <w:noProof w:val="0"/>
          <w:color w:val="000000"/>
          <w:sz w:val="24"/>
          <w:szCs w:val="24"/>
        </w:rPr>
        <w:t>historike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të referuara në paragrafin e parë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>.</w:t>
      </w:r>
    </w:p>
    <w:p w:rsidR="00BB52B4" w:rsidRDefault="00BB52B4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BB52B4" w:rsidRDefault="00BB52B4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9A1ED3" w:rsidRDefault="009C78C8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59526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Të 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>gjith</w:t>
      </w:r>
      <w:r w:rsidR="00BB52B4">
        <w:rPr>
          <w:rFonts w:cstheme="minorHAnsi"/>
          <w:noProof w:val="0"/>
          <w:color w:val="000000"/>
          <w:sz w:val="24"/>
          <w:szCs w:val="24"/>
        </w:rPr>
        <w:t>a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TSO-të e Bllokut </w:t>
      </w:r>
      <w:r w:rsidR="00F10FD0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duhet të sigurohen që </w:t>
      </w:r>
      <w:r w:rsidR="00BB52B4" w:rsidRPr="004F0AFC">
        <w:rPr>
          <w:rFonts w:cstheme="minorHAnsi"/>
          <w:noProof w:val="0"/>
          <w:color w:val="000000"/>
          <w:sz w:val="24"/>
          <w:szCs w:val="24"/>
        </w:rPr>
        <w:t>kapaciteti i</w:t>
      </w:r>
      <w:r w:rsidR="00BB52B4" w:rsidRPr="00BB52B4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>rezerv</w:t>
      </w:r>
      <w:r w:rsidR="00BB52B4">
        <w:rPr>
          <w:rFonts w:cstheme="minorHAnsi"/>
          <w:noProof w:val="0"/>
          <w:color w:val="000000"/>
          <w:sz w:val="24"/>
          <w:szCs w:val="24"/>
        </w:rPr>
        <w:t>ës</w:t>
      </w:r>
      <w:r w:rsidR="00BB52B4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>negative për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 FRR 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është </w:t>
      </w:r>
      <w:r w:rsidR="007B5D06">
        <w:rPr>
          <w:rFonts w:cstheme="minorHAnsi"/>
          <w:noProof w:val="0"/>
          <w:color w:val="000000"/>
          <w:sz w:val="24"/>
          <w:szCs w:val="24"/>
        </w:rPr>
        <w:t>i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BB52B4" w:rsidRPr="004F0AFC">
        <w:rPr>
          <w:rFonts w:cstheme="minorHAnsi"/>
          <w:noProof w:val="0"/>
          <w:color w:val="000000"/>
          <w:sz w:val="24"/>
          <w:szCs w:val="24"/>
        </w:rPr>
        <w:t>mjaftueshëm</w:t>
      </w:r>
      <w:r w:rsidR="00DD3A67" w:rsidRPr="009A1ED3">
        <w:rPr>
          <w:rFonts w:cstheme="minorHAnsi"/>
          <w:noProof w:val="0"/>
          <w:color w:val="000000"/>
          <w:sz w:val="24"/>
          <w:szCs w:val="24"/>
        </w:rPr>
        <w:t xml:space="preserve"> për mbulimin e </w:t>
      </w:r>
      <w:r w:rsidR="00BB52B4">
        <w:rPr>
          <w:rFonts w:cstheme="minorHAnsi"/>
          <w:noProof w:val="0"/>
          <w:color w:val="000000"/>
          <w:sz w:val="24"/>
          <w:szCs w:val="24"/>
        </w:rPr>
        <w:t>dis</w:t>
      </w:r>
      <w:r w:rsidR="00AF0AB3" w:rsidRPr="009A1ED3">
        <w:rPr>
          <w:rFonts w:cstheme="minorHAnsi"/>
          <w:noProof w:val="0"/>
          <w:color w:val="000000"/>
          <w:sz w:val="24"/>
          <w:szCs w:val="24"/>
        </w:rPr>
        <w:t>balanceve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 negative </w:t>
      </w:r>
      <w:r w:rsidR="00AF0AB3" w:rsidRPr="009A1ED3">
        <w:rPr>
          <w:rFonts w:cstheme="minorHAnsi"/>
          <w:noProof w:val="0"/>
          <w:color w:val="000000"/>
          <w:sz w:val="24"/>
          <w:szCs w:val="24"/>
        </w:rPr>
        <w:t xml:space="preserve">të Bllokut </w:t>
      </w:r>
      <w:r w:rsidR="00F10FD0" w:rsidRPr="00765C08">
        <w:rPr>
          <w:rFonts w:cstheme="minorHAnsi"/>
          <w:noProof w:val="0"/>
          <w:color w:val="000000"/>
          <w:sz w:val="24"/>
          <w:szCs w:val="24"/>
        </w:rPr>
        <w:t>LFC</w:t>
      </w:r>
      <w:r w:rsidR="00F10FD0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AF0AB3" w:rsidRPr="009A1ED3">
        <w:rPr>
          <w:rFonts w:cstheme="minorHAnsi"/>
          <w:noProof w:val="0"/>
          <w:color w:val="000000"/>
          <w:sz w:val="24"/>
          <w:szCs w:val="24"/>
        </w:rPr>
        <w:t xml:space="preserve">së paku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99 % </w:t>
      </w:r>
      <w:r w:rsidR="00AF0AB3" w:rsidRPr="009A1ED3">
        <w:rPr>
          <w:rFonts w:cstheme="minorHAnsi"/>
          <w:noProof w:val="0"/>
          <w:color w:val="000000"/>
          <w:sz w:val="24"/>
          <w:szCs w:val="24"/>
        </w:rPr>
        <w:t>të kohës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, </w:t>
      </w:r>
      <w:r w:rsidR="00AF0AB3" w:rsidRPr="009A1ED3">
        <w:rPr>
          <w:rFonts w:cstheme="minorHAnsi"/>
          <w:noProof w:val="0"/>
          <w:color w:val="000000"/>
          <w:sz w:val="24"/>
          <w:szCs w:val="24"/>
        </w:rPr>
        <w:t xml:space="preserve">duke u bazuar në </w:t>
      </w:r>
      <w:r w:rsidR="00E23C2E" w:rsidRPr="009A1ED3">
        <w:rPr>
          <w:rFonts w:cstheme="minorHAnsi"/>
          <w:noProof w:val="0"/>
          <w:color w:val="000000"/>
          <w:sz w:val="24"/>
          <w:szCs w:val="24"/>
        </w:rPr>
        <w:t xml:space="preserve">të dhënat </w:t>
      </w:r>
      <w:r w:rsidR="00AF0AB3" w:rsidRPr="009A1ED3">
        <w:rPr>
          <w:rFonts w:cstheme="minorHAnsi"/>
          <w:noProof w:val="0"/>
          <w:color w:val="000000"/>
          <w:sz w:val="24"/>
          <w:szCs w:val="24"/>
        </w:rPr>
        <w:t>historike të referuara në paragrafin e parë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.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9C78C8" w:rsidRPr="009A1ED3" w:rsidRDefault="005B5444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  <w:r w:rsidRPr="009A1ED3">
        <w:rPr>
          <w:rFonts w:cstheme="minorHAnsi"/>
          <w:noProof w:val="0"/>
          <w:color w:val="000000"/>
          <w:sz w:val="24"/>
          <w:szCs w:val="24"/>
        </w:rPr>
        <w:t>Përpjes</w:t>
      </w:r>
      <w:r w:rsidR="00601A0A" w:rsidRPr="009A1ED3">
        <w:rPr>
          <w:rFonts w:cstheme="minorHAnsi"/>
          <w:noProof w:val="0"/>
          <w:color w:val="000000"/>
          <w:sz w:val="24"/>
          <w:szCs w:val="24"/>
        </w:rPr>
        <w:t>a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 e kapacitetit rezervë të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FRR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në </w:t>
      </w:r>
      <w:r w:rsidR="00505787">
        <w:rPr>
          <w:rFonts w:cstheme="minorHAnsi"/>
          <w:noProof w:val="0"/>
          <w:color w:val="000000"/>
          <w:sz w:val="24"/>
          <w:szCs w:val="24"/>
        </w:rPr>
        <w:t>drejtim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 pozitiv që kërkohet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505787">
        <w:rPr>
          <w:rFonts w:cstheme="minorHAnsi"/>
          <w:noProof w:val="0"/>
          <w:color w:val="000000"/>
          <w:sz w:val="24"/>
          <w:szCs w:val="24"/>
        </w:rPr>
        <w:t>nga secila</w:t>
      </w:r>
      <w:r w:rsidR="00505787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TSO </w:t>
      </w:r>
      <w:r w:rsidR="009C78C8" w:rsidRPr="009A1ED3">
        <w:rPr>
          <w:rFonts w:ascii="Cambria Math" w:hAnsi="Cambria Math" w:cs="Cambria Math"/>
          <w:noProof w:val="0"/>
          <w:color w:val="000000"/>
          <w:sz w:val="24"/>
          <w:szCs w:val="24"/>
        </w:rPr>
        <w:t>𝑃𝑖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si obligim për 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FRR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për vitin kalendarik </w:t>
      </w:r>
      <w:r w:rsidR="00505787" w:rsidRPr="003257C3">
        <w:rPr>
          <w:rFonts w:ascii="Cambria Math" w:hAnsi="Cambria Math" w:cs="Cambria Math"/>
          <w:noProof w:val="0"/>
          <w:color w:val="000000"/>
          <w:sz w:val="24"/>
          <w:szCs w:val="24"/>
        </w:rPr>
        <w:t>𝑡</w:t>
      </w:r>
      <w:r w:rsidR="00505787" w:rsidRPr="00505787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në shqyrtim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do të bazohet </w:t>
      </w:r>
      <w:r w:rsidR="00505787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>në shprehjen vijuese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për të </w:t>
      </w:r>
      <w:r w:rsidR="00505787" w:rsidRPr="009A1ED3">
        <w:rPr>
          <w:rFonts w:cstheme="minorHAnsi"/>
          <w:noProof w:val="0"/>
          <w:color w:val="000000"/>
          <w:sz w:val="24"/>
          <w:szCs w:val="24"/>
        </w:rPr>
        <w:t>gjith</w:t>
      </w:r>
      <w:r w:rsidR="00505787">
        <w:rPr>
          <w:rFonts w:cstheme="minorHAnsi"/>
          <w:noProof w:val="0"/>
          <w:color w:val="000000"/>
          <w:sz w:val="24"/>
          <w:szCs w:val="24"/>
        </w:rPr>
        <w:t>a</w:t>
      </w:r>
      <w:r w:rsidR="00505787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TSO-të </w:t>
      </w:r>
      <w:r w:rsidR="00505787">
        <w:rPr>
          <w:rFonts w:cstheme="minorHAnsi"/>
          <w:noProof w:val="0"/>
          <w:color w:val="000000"/>
          <w:sz w:val="24"/>
          <w:szCs w:val="24"/>
        </w:rPr>
        <w:t>e</w:t>
      </w:r>
      <w:r w:rsidR="00505787" w:rsidRPr="009A1ED3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9A1ED3">
        <w:rPr>
          <w:rFonts w:cstheme="minorHAnsi"/>
          <w:noProof w:val="0"/>
          <w:color w:val="000000"/>
          <w:sz w:val="24"/>
          <w:szCs w:val="24"/>
        </w:rPr>
        <w:t xml:space="preserve">Bllokut </w:t>
      </w:r>
      <w:r w:rsidR="00F10FD0">
        <w:rPr>
          <w:rFonts w:cstheme="minorHAnsi"/>
          <w:noProof w:val="0"/>
          <w:color w:val="000000"/>
          <w:sz w:val="24"/>
          <w:szCs w:val="24"/>
        </w:rPr>
        <w:t xml:space="preserve">LFC </w:t>
      </w:r>
      <w:r w:rsidR="008C4203" w:rsidRPr="009A1ED3">
        <w:rPr>
          <w:rFonts w:cstheme="minorHAnsi"/>
          <w:noProof w:val="0"/>
          <w:color w:val="000000"/>
          <w:sz w:val="24"/>
          <w:szCs w:val="24"/>
        </w:rPr>
        <w:t>AK</w:t>
      </w:r>
      <w:r w:rsidR="009C78C8" w:rsidRPr="009A1ED3">
        <w:rPr>
          <w:rFonts w:cstheme="minorHAnsi"/>
          <w:noProof w:val="0"/>
          <w:color w:val="000000"/>
          <w:sz w:val="24"/>
          <w:szCs w:val="24"/>
        </w:rPr>
        <w:t xml:space="preserve">: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4"/>
          <w:szCs w:val="24"/>
        </w:rPr>
      </w:pPr>
    </w:p>
    <w:p w:rsidR="0051144E" w:rsidRPr="00595263" w:rsidRDefault="00126B31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i,t+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=FRR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+dimensioning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max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FRR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i,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det⁡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_need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,+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FRR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i,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prob⁡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_need</m:t>
                          </m:r>
                        </m:sub>
                      </m:sSub>
                    </m:e>
                  </m:d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max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FRR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i,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det⁡</m:t>
                              </m:r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_need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FRR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i,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prob⁡</m:t>
                              </m:r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_need</m:t>
                              </m:r>
                            </m:sub>
                          </m:sSub>
                        </m:e>
                      </m:d>
                    </m:e>
                  </m:nary>
                </m:den>
              </m:f>
            </m:e>
          </m:d>
        </m:oMath>
      </m:oMathPara>
    </w:p>
    <w:p w:rsidR="0051144E" w:rsidRPr="00595263" w:rsidRDefault="0051144E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</w:p>
    <w:p w:rsidR="009C78C8" w:rsidRPr="00595263" w:rsidRDefault="005B5444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w:r w:rsidRPr="00595263">
        <w:rPr>
          <w:rFonts w:cstheme="minorHAnsi"/>
          <w:noProof w:val="0"/>
          <w:sz w:val="24"/>
          <w:szCs w:val="24"/>
        </w:rPr>
        <w:t>Ku</w:t>
      </w:r>
      <w:r w:rsidR="009C78C8" w:rsidRPr="00595263">
        <w:rPr>
          <w:rFonts w:cstheme="minorHAnsi"/>
          <w:noProof w:val="0"/>
          <w:sz w:val="24"/>
          <w:szCs w:val="24"/>
        </w:rPr>
        <w:t xml:space="preserve">: </w:t>
      </w:r>
    </w:p>
    <w:p w:rsidR="009C78C8" w:rsidRPr="00595263" w:rsidRDefault="00126B31" w:rsidP="00DE7D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noProof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noProof w:val="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Cambria Math"/>
                <w:noProof w:val="0"/>
                <w:sz w:val="24"/>
                <w:szCs w:val="24"/>
              </w:rPr>
              <m:t>i,t</m:t>
            </m:r>
          </m:sub>
        </m:sSub>
      </m:oMath>
      <w:r w:rsidR="009C78C8" w:rsidRPr="00595263">
        <w:rPr>
          <w:rFonts w:cstheme="minorHAnsi"/>
          <w:noProof w:val="0"/>
          <w:sz w:val="24"/>
          <w:szCs w:val="24"/>
        </w:rPr>
        <w:t xml:space="preserve">,+ </w:t>
      </w:r>
      <w:r w:rsidR="005B5444" w:rsidRPr="00595263">
        <w:rPr>
          <w:rFonts w:cstheme="minorHAnsi"/>
          <w:noProof w:val="0"/>
          <w:sz w:val="24"/>
          <w:szCs w:val="24"/>
        </w:rPr>
        <w:t xml:space="preserve">është obligimi </w:t>
      </w:r>
      <w:r w:rsidR="00505787">
        <w:rPr>
          <w:rFonts w:cstheme="minorHAnsi"/>
          <w:noProof w:val="0"/>
          <w:sz w:val="24"/>
          <w:szCs w:val="24"/>
        </w:rPr>
        <w:t>fillestar</w:t>
      </w:r>
      <w:r w:rsidR="00505787" w:rsidRPr="00595263">
        <w:rPr>
          <w:rFonts w:cstheme="minorHAnsi"/>
          <w:noProof w:val="0"/>
          <w:sz w:val="24"/>
          <w:szCs w:val="24"/>
        </w:rPr>
        <w:t xml:space="preserve"> </w:t>
      </w:r>
      <w:r w:rsidR="005B5444" w:rsidRPr="00595263">
        <w:rPr>
          <w:rFonts w:cstheme="minorHAnsi"/>
          <w:noProof w:val="0"/>
          <w:sz w:val="24"/>
          <w:szCs w:val="24"/>
        </w:rPr>
        <w:t>për</w:t>
      </w:r>
      <w:r w:rsidR="009C78C8" w:rsidRPr="00595263">
        <w:rPr>
          <w:rFonts w:cstheme="minorHAnsi"/>
          <w:noProof w:val="0"/>
          <w:sz w:val="24"/>
          <w:szCs w:val="24"/>
        </w:rPr>
        <w:t xml:space="preserve"> FRR </w:t>
      </w:r>
      <w:r w:rsidR="005B5444" w:rsidRPr="00595263">
        <w:rPr>
          <w:rFonts w:cstheme="minorHAnsi"/>
          <w:noProof w:val="0"/>
          <w:sz w:val="24"/>
          <w:szCs w:val="24"/>
        </w:rPr>
        <w:t>për</w:t>
      </w:r>
      <w:r w:rsidR="009C78C8" w:rsidRPr="00595263">
        <w:rPr>
          <w:rFonts w:cstheme="minorHAnsi"/>
          <w:noProof w:val="0"/>
          <w:sz w:val="24"/>
          <w:szCs w:val="24"/>
        </w:rPr>
        <w:t xml:space="preserve"> TSO </w:t>
      </w:r>
      <w:r w:rsidR="009C78C8" w:rsidRPr="00595263">
        <w:rPr>
          <w:rFonts w:cstheme="minorHAnsi"/>
          <w:i/>
          <w:iCs/>
          <w:noProof w:val="0"/>
          <w:sz w:val="24"/>
          <w:szCs w:val="24"/>
        </w:rPr>
        <w:t xml:space="preserve">i </w:t>
      </w:r>
      <w:r w:rsidR="005B5444" w:rsidRPr="00595263">
        <w:rPr>
          <w:rFonts w:cstheme="minorHAnsi"/>
          <w:noProof w:val="0"/>
          <w:sz w:val="24"/>
          <w:szCs w:val="24"/>
        </w:rPr>
        <w:t>për vitin kalendarik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ascii="Cambria Math" w:hAnsi="Cambria Math" w:cs="Cambria Math"/>
          <w:noProof w:val="0"/>
          <w:sz w:val="24"/>
          <w:szCs w:val="24"/>
        </w:rPr>
        <w:t>𝑡</w:t>
      </w:r>
      <w:r w:rsidR="009C78C8" w:rsidRPr="00595263">
        <w:rPr>
          <w:rFonts w:cstheme="minorHAnsi"/>
          <w:noProof w:val="0"/>
          <w:sz w:val="24"/>
          <w:szCs w:val="24"/>
        </w:rPr>
        <w:t xml:space="preserve">; </w:t>
      </w:r>
    </w:p>
    <w:p w:rsidR="0051144E" w:rsidRPr="00595263" w:rsidRDefault="00126B31" w:rsidP="00DE7D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noProof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FRR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dimensioning</m:t>
            </m:r>
          </m:sub>
        </m:sSub>
      </m:oMath>
      <w:r w:rsidR="0051144E" w:rsidRPr="00595263">
        <w:rPr>
          <w:rFonts w:eastAsiaTheme="minorEastAsia" w:cstheme="minorHAnsi"/>
          <w:noProof w:val="0"/>
          <w:sz w:val="24"/>
          <w:szCs w:val="24"/>
        </w:rPr>
        <w:t xml:space="preserve">  </w:t>
      </w:r>
      <w:r w:rsidR="005B5444" w:rsidRPr="00595263">
        <w:rPr>
          <w:rFonts w:cstheme="minorHAnsi"/>
          <w:noProof w:val="0"/>
          <w:sz w:val="24"/>
          <w:szCs w:val="24"/>
        </w:rPr>
        <w:t xml:space="preserve">është vlera </w:t>
      </w:r>
      <w:r w:rsidR="00D12D47">
        <w:rPr>
          <w:rFonts w:cstheme="minorHAnsi"/>
          <w:noProof w:val="0"/>
          <w:sz w:val="24"/>
          <w:szCs w:val="24"/>
        </w:rPr>
        <w:t xml:space="preserve">e </w:t>
      </w:r>
      <w:r w:rsidR="00505787" w:rsidRPr="00595263">
        <w:rPr>
          <w:rFonts w:cstheme="minorHAnsi"/>
          <w:noProof w:val="0"/>
          <w:sz w:val="24"/>
          <w:szCs w:val="24"/>
        </w:rPr>
        <w:t>dimensi</w:t>
      </w:r>
      <w:r w:rsidR="00505787">
        <w:rPr>
          <w:rFonts w:cstheme="minorHAnsi"/>
          <w:noProof w:val="0"/>
          <w:sz w:val="24"/>
          <w:szCs w:val="24"/>
        </w:rPr>
        <w:t>on</w:t>
      </w:r>
      <w:r w:rsidR="007B5D06">
        <w:rPr>
          <w:rFonts w:cstheme="minorHAnsi"/>
          <w:noProof w:val="0"/>
          <w:sz w:val="24"/>
          <w:szCs w:val="24"/>
        </w:rPr>
        <w:t>im</w:t>
      </w:r>
      <w:r w:rsidR="00505787">
        <w:rPr>
          <w:rFonts w:cstheme="minorHAnsi"/>
          <w:noProof w:val="0"/>
          <w:sz w:val="24"/>
          <w:szCs w:val="24"/>
        </w:rPr>
        <w:t>it t</w:t>
      </w:r>
      <w:r w:rsidR="005B5444" w:rsidRPr="00595263">
        <w:rPr>
          <w:rFonts w:cstheme="minorHAnsi"/>
          <w:noProof w:val="0"/>
          <w:sz w:val="24"/>
          <w:szCs w:val="24"/>
        </w:rPr>
        <w:t xml:space="preserve">e </w:t>
      </w:r>
      <w:r w:rsidR="009C78C8" w:rsidRPr="00595263">
        <w:rPr>
          <w:rFonts w:cstheme="minorHAnsi"/>
          <w:noProof w:val="0"/>
          <w:sz w:val="24"/>
          <w:szCs w:val="24"/>
        </w:rPr>
        <w:t xml:space="preserve">FRR </w:t>
      </w:r>
      <w:r w:rsidR="005B5444" w:rsidRPr="00595263">
        <w:rPr>
          <w:rFonts w:cstheme="minorHAnsi"/>
          <w:noProof w:val="0"/>
          <w:sz w:val="24"/>
          <w:szCs w:val="24"/>
        </w:rPr>
        <w:t xml:space="preserve">e </w:t>
      </w:r>
      <w:r w:rsidR="00505787">
        <w:rPr>
          <w:rFonts w:cstheme="minorHAnsi"/>
          <w:noProof w:val="0"/>
          <w:sz w:val="24"/>
          <w:szCs w:val="24"/>
        </w:rPr>
        <w:t>llogaritur</w:t>
      </w:r>
      <w:r w:rsidR="00505787" w:rsidRPr="00595263">
        <w:rPr>
          <w:rFonts w:cstheme="minorHAnsi"/>
          <w:noProof w:val="0"/>
          <w:sz w:val="24"/>
          <w:szCs w:val="24"/>
        </w:rPr>
        <w:t xml:space="preserve"> </w:t>
      </w:r>
      <w:r w:rsidR="005B5444" w:rsidRPr="00595263">
        <w:rPr>
          <w:rFonts w:cstheme="minorHAnsi"/>
          <w:noProof w:val="0"/>
          <w:sz w:val="24"/>
          <w:szCs w:val="24"/>
        </w:rPr>
        <w:t>për Bllokun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F10FD0">
        <w:rPr>
          <w:rFonts w:cstheme="minorHAnsi"/>
          <w:noProof w:val="0"/>
          <w:sz w:val="24"/>
          <w:szCs w:val="24"/>
        </w:rPr>
        <w:t xml:space="preserve">LFC </w:t>
      </w:r>
      <w:r w:rsidR="008C4203" w:rsidRPr="00595263">
        <w:rPr>
          <w:rFonts w:cstheme="minorHAnsi"/>
          <w:noProof w:val="0"/>
          <w:sz w:val="24"/>
          <w:szCs w:val="24"/>
        </w:rPr>
        <w:t>AK</w:t>
      </w:r>
      <w:r w:rsidR="009C78C8" w:rsidRPr="00595263">
        <w:rPr>
          <w:rFonts w:cstheme="minorHAnsi"/>
          <w:noProof w:val="0"/>
          <w:sz w:val="24"/>
          <w:szCs w:val="24"/>
        </w:rPr>
        <w:t xml:space="preserve">; </w:t>
      </w:r>
    </w:p>
    <w:p w:rsidR="009C78C8" w:rsidRPr="00595263" w:rsidRDefault="00126B31" w:rsidP="00DE7D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FRR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i,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det _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need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 xml:space="preserve"> </m:t>
            </m:r>
          </m:sub>
        </m:sSub>
      </m:oMath>
      <w:r w:rsidR="005B5444" w:rsidRPr="00595263">
        <w:rPr>
          <w:rFonts w:cstheme="minorHAnsi"/>
          <w:noProof w:val="0"/>
          <w:sz w:val="24"/>
          <w:szCs w:val="24"/>
        </w:rPr>
        <w:t>është kapaciteti rezervë në zonën rregulluese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cstheme="minorHAnsi"/>
          <w:i/>
          <w:iCs/>
          <w:noProof w:val="0"/>
          <w:sz w:val="24"/>
          <w:szCs w:val="24"/>
        </w:rPr>
        <w:t xml:space="preserve">i </w:t>
      </w:r>
      <w:r w:rsidR="005B5444" w:rsidRPr="00595263">
        <w:rPr>
          <w:rFonts w:cstheme="minorHAnsi"/>
          <w:noProof w:val="0"/>
          <w:sz w:val="24"/>
          <w:szCs w:val="24"/>
        </w:rPr>
        <w:t>gjatë periudhës që i referohet</w:t>
      </w:r>
      <w:r w:rsidR="00AD3E09" w:rsidRPr="00595263">
        <w:rPr>
          <w:rFonts w:cstheme="minorHAnsi"/>
          <w:noProof w:val="0"/>
          <w:sz w:val="24"/>
          <w:szCs w:val="24"/>
        </w:rPr>
        <w:t xml:space="preserve"> </w:t>
      </w:r>
      <w:r w:rsidR="007B5D06">
        <w:rPr>
          <w:rFonts w:cstheme="minorHAnsi"/>
          <w:noProof w:val="0"/>
          <w:sz w:val="24"/>
          <w:szCs w:val="24"/>
        </w:rPr>
        <w:t xml:space="preserve">në </w:t>
      </w:r>
      <w:r w:rsidR="00AD3E09" w:rsidRPr="00595263">
        <w:rPr>
          <w:rFonts w:cstheme="minorHAnsi"/>
          <w:noProof w:val="0"/>
          <w:sz w:val="24"/>
          <w:szCs w:val="24"/>
        </w:rPr>
        <w:t>paragrafi</w:t>
      </w:r>
      <w:r w:rsidR="007B5D06">
        <w:rPr>
          <w:rFonts w:cstheme="minorHAnsi"/>
          <w:noProof w:val="0"/>
          <w:sz w:val="24"/>
          <w:szCs w:val="24"/>
        </w:rPr>
        <w:t>n</w:t>
      </w:r>
      <w:r w:rsidR="00AD3E09" w:rsidRPr="00595263">
        <w:rPr>
          <w:rFonts w:cstheme="minorHAnsi"/>
          <w:noProof w:val="0"/>
          <w:sz w:val="24"/>
          <w:szCs w:val="24"/>
        </w:rPr>
        <w:t xml:space="preserve"> </w:t>
      </w:r>
      <w:r w:rsidR="007B5D06">
        <w:rPr>
          <w:rFonts w:cstheme="minorHAnsi"/>
          <w:noProof w:val="0"/>
          <w:sz w:val="24"/>
          <w:szCs w:val="24"/>
        </w:rPr>
        <w:t>e</w:t>
      </w:r>
      <w:r w:rsidR="00AD3E09" w:rsidRPr="00595263">
        <w:rPr>
          <w:rFonts w:cstheme="minorHAnsi"/>
          <w:noProof w:val="0"/>
          <w:sz w:val="24"/>
          <w:szCs w:val="24"/>
        </w:rPr>
        <w:t xml:space="preserve"> parë, e </w:t>
      </w:r>
      <w:r w:rsidR="00505787">
        <w:rPr>
          <w:rFonts w:cstheme="minorHAnsi"/>
          <w:noProof w:val="0"/>
          <w:sz w:val="24"/>
          <w:szCs w:val="24"/>
        </w:rPr>
        <w:t>llogaritur</w:t>
      </w:r>
      <w:r w:rsidR="00505787" w:rsidRPr="00595263">
        <w:rPr>
          <w:rFonts w:cstheme="minorHAnsi"/>
          <w:noProof w:val="0"/>
          <w:sz w:val="24"/>
          <w:szCs w:val="24"/>
        </w:rPr>
        <w:t xml:space="preserve"> </w:t>
      </w:r>
      <w:r w:rsidR="00505787">
        <w:rPr>
          <w:rFonts w:cstheme="minorHAnsi"/>
          <w:noProof w:val="0"/>
          <w:sz w:val="24"/>
          <w:szCs w:val="24"/>
        </w:rPr>
        <w:t>sipas</w:t>
      </w:r>
      <w:r w:rsidR="00AD3E09" w:rsidRPr="00595263">
        <w:rPr>
          <w:rFonts w:cstheme="minorHAnsi"/>
          <w:noProof w:val="0"/>
          <w:sz w:val="24"/>
          <w:szCs w:val="24"/>
        </w:rPr>
        <w:t xml:space="preserve"> </w:t>
      </w:r>
      <w:r w:rsidR="00505787" w:rsidRPr="00595263">
        <w:rPr>
          <w:rFonts w:cstheme="minorHAnsi"/>
          <w:noProof w:val="0"/>
          <w:sz w:val="24"/>
          <w:szCs w:val="24"/>
        </w:rPr>
        <w:t>metodologji</w:t>
      </w:r>
      <w:r w:rsidR="00505787">
        <w:rPr>
          <w:rFonts w:cstheme="minorHAnsi"/>
          <w:noProof w:val="0"/>
          <w:sz w:val="24"/>
          <w:szCs w:val="24"/>
        </w:rPr>
        <w:t>s</w:t>
      </w:r>
      <w:r w:rsidR="00505787" w:rsidRPr="00595263">
        <w:rPr>
          <w:rFonts w:cstheme="minorHAnsi"/>
          <w:noProof w:val="0"/>
          <w:sz w:val="24"/>
          <w:szCs w:val="24"/>
        </w:rPr>
        <w:t xml:space="preserve">ë </w:t>
      </w:r>
      <w:r w:rsidR="007B5D06">
        <w:rPr>
          <w:rFonts w:cstheme="minorHAnsi"/>
          <w:noProof w:val="0"/>
          <w:sz w:val="24"/>
          <w:szCs w:val="24"/>
        </w:rPr>
        <w:t>probabilistike</w:t>
      </w:r>
      <w:r w:rsidR="009C78C8" w:rsidRPr="00595263">
        <w:rPr>
          <w:rFonts w:cstheme="minorHAnsi"/>
          <w:noProof w:val="0"/>
          <w:sz w:val="24"/>
          <w:szCs w:val="24"/>
        </w:rPr>
        <w:t xml:space="preserve">, </w:t>
      </w:r>
      <w:r w:rsidR="00AD3E09" w:rsidRPr="00595263">
        <w:rPr>
          <w:rFonts w:cstheme="minorHAnsi"/>
          <w:noProof w:val="0"/>
          <w:sz w:val="24"/>
          <w:szCs w:val="24"/>
        </w:rPr>
        <w:t>d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D3E09" w:rsidRPr="00595263">
        <w:rPr>
          <w:rFonts w:cstheme="minorHAnsi"/>
          <w:noProof w:val="0"/>
          <w:sz w:val="24"/>
          <w:szCs w:val="24"/>
        </w:rPr>
        <w:t>m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D3E09" w:rsidRPr="00595263">
        <w:rPr>
          <w:rFonts w:cstheme="minorHAnsi"/>
          <w:noProof w:val="0"/>
          <w:sz w:val="24"/>
          <w:szCs w:val="24"/>
        </w:rPr>
        <w:t>th.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>e barabartë me incidentin</w:t>
      </w:r>
      <w:r w:rsidR="00DE7D64">
        <w:rPr>
          <w:rFonts w:cstheme="minorHAnsi"/>
          <w:noProof w:val="0"/>
          <w:sz w:val="24"/>
          <w:szCs w:val="24"/>
        </w:rPr>
        <w:t xml:space="preserve"> qe merret gjate dimensionimit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>pozitiv</w:t>
      </w:r>
      <w:r w:rsidR="00DE7D64">
        <w:rPr>
          <w:rFonts w:cstheme="minorHAnsi"/>
          <w:noProof w:val="0"/>
          <w:sz w:val="24"/>
          <w:szCs w:val="24"/>
        </w:rPr>
        <w:t xml:space="preserve"> te rezervës </w:t>
      </w:r>
      <w:r w:rsidR="00AD3E09" w:rsidRPr="00595263">
        <w:rPr>
          <w:rFonts w:cstheme="minorHAnsi"/>
          <w:noProof w:val="0"/>
          <w:sz w:val="24"/>
          <w:szCs w:val="24"/>
        </w:rPr>
        <w:t xml:space="preserve"> për atë</w:t>
      </w:r>
      <w:r w:rsidR="009C78C8" w:rsidRPr="00595263">
        <w:rPr>
          <w:rFonts w:cstheme="minorHAnsi"/>
          <w:noProof w:val="0"/>
          <w:sz w:val="24"/>
          <w:szCs w:val="24"/>
        </w:rPr>
        <w:t xml:space="preserve"> TSO; </w:t>
      </w:r>
    </w:p>
    <w:p w:rsidR="009C78C8" w:rsidRPr="00595263" w:rsidRDefault="00126B31" w:rsidP="00DE7D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FRRi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i,  prob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_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need</m:t>
            </m:r>
          </m:sub>
        </m:sSub>
      </m:oMath>
      <w:r w:rsidR="0051144E" w:rsidRPr="00595263">
        <w:rPr>
          <w:rFonts w:eastAsiaTheme="minorEastAsia"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>është kapaciteti rezervë në zonën rregulluese gjatë periudhës së referuar në paragrafin e parë</w:t>
      </w:r>
      <w:r w:rsidR="00FA031F">
        <w:rPr>
          <w:rFonts w:cstheme="minorHAnsi"/>
          <w:noProof w:val="0"/>
          <w:sz w:val="24"/>
          <w:szCs w:val="24"/>
        </w:rPr>
        <w:t>,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 xml:space="preserve">e </w:t>
      </w:r>
      <w:r w:rsidR="00D12D47">
        <w:rPr>
          <w:rFonts w:cstheme="minorHAnsi"/>
          <w:noProof w:val="0"/>
          <w:sz w:val="24"/>
          <w:szCs w:val="24"/>
        </w:rPr>
        <w:t>llogaritur</w:t>
      </w:r>
      <w:r w:rsidR="00AD3E09" w:rsidRPr="00595263">
        <w:rPr>
          <w:rFonts w:cstheme="minorHAnsi"/>
          <w:noProof w:val="0"/>
          <w:sz w:val="24"/>
          <w:szCs w:val="24"/>
        </w:rPr>
        <w:t xml:space="preserve"> </w:t>
      </w:r>
      <w:r w:rsidR="00D12D47">
        <w:rPr>
          <w:rFonts w:cstheme="minorHAnsi"/>
          <w:noProof w:val="0"/>
          <w:sz w:val="24"/>
          <w:szCs w:val="24"/>
        </w:rPr>
        <w:t>sipas</w:t>
      </w:r>
      <w:r w:rsidR="00AD3E09" w:rsidRPr="00595263">
        <w:rPr>
          <w:rFonts w:cstheme="minorHAnsi"/>
          <w:noProof w:val="0"/>
          <w:sz w:val="24"/>
          <w:szCs w:val="24"/>
        </w:rPr>
        <w:t xml:space="preserve"> </w:t>
      </w:r>
      <w:r w:rsidR="00D12D47" w:rsidRPr="00595263">
        <w:rPr>
          <w:rFonts w:cstheme="minorHAnsi"/>
          <w:noProof w:val="0"/>
          <w:sz w:val="24"/>
          <w:szCs w:val="24"/>
        </w:rPr>
        <w:t>metodologji</w:t>
      </w:r>
      <w:r w:rsidR="00D12D47">
        <w:rPr>
          <w:rFonts w:cstheme="minorHAnsi"/>
          <w:noProof w:val="0"/>
          <w:sz w:val="24"/>
          <w:szCs w:val="24"/>
        </w:rPr>
        <w:t>s</w:t>
      </w:r>
      <w:r w:rsidR="00D12D47" w:rsidRPr="00595263">
        <w:rPr>
          <w:rFonts w:cstheme="minorHAnsi"/>
          <w:noProof w:val="0"/>
          <w:sz w:val="24"/>
          <w:szCs w:val="24"/>
        </w:rPr>
        <w:t xml:space="preserve">ë </w:t>
      </w:r>
      <w:r w:rsidR="00AD3E09" w:rsidRPr="00595263">
        <w:rPr>
          <w:rFonts w:cstheme="minorHAnsi"/>
          <w:noProof w:val="0"/>
          <w:sz w:val="24"/>
          <w:szCs w:val="24"/>
        </w:rPr>
        <w:t>probabilistike</w:t>
      </w:r>
      <w:r w:rsidR="009C78C8" w:rsidRPr="00595263">
        <w:rPr>
          <w:rFonts w:cstheme="minorHAnsi"/>
          <w:noProof w:val="0"/>
          <w:sz w:val="24"/>
          <w:szCs w:val="24"/>
        </w:rPr>
        <w:t>,</w:t>
      </w:r>
      <w:r w:rsidR="00595263">
        <w:rPr>
          <w:rFonts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>d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D3E09" w:rsidRPr="00595263">
        <w:rPr>
          <w:rFonts w:cstheme="minorHAnsi"/>
          <w:noProof w:val="0"/>
          <w:sz w:val="24"/>
          <w:szCs w:val="24"/>
        </w:rPr>
        <w:t>m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D3E09" w:rsidRPr="00595263">
        <w:rPr>
          <w:rFonts w:cstheme="minorHAnsi"/>
          <w:noProof w:val="0"/>
          <w:sz w:val="24"/>
          <w:szCs w:val="24"/>
        </w:rPr>
        <w:t>th.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>kapaciteti rezervë pozitiv i</w:t>
      </w:r>
      <w:r w:rsidR="009C78C8" w:rsidRPr="00595263">
        <w:rPr>
          <w:rFonts w:cstheme="minorHAnsi"/>
          <w:noProof w:val="0"/>
          <w:sz w:val="24"/>
          <w:szCs w:val="24"/>
        </w:rPr>
        <w:t xml:space="preserve"> FRR </w:t>
      </w:r>
      <w:r w:rsidR="00AD3E09" w:rsidRPr="00595263">
        <w:rPr>
          <w:rFonts w:cstheme="minorHAnsi"/>
          <w:noProof w:val="0"/>
          <w:sz w:val="24"/>
          <w:szCs w:val="24"/>
        </w:rPr>
        <w:t xml:space="preserve">është i mjaftueshëm që të mbuloj </w:t>
      </w:r>
      <w:r w:rsidR="00D12D47">
        <w:rPr>
          <w:rFonts w:cstheme="minorHAnsi"/>
          <w:noProof w:val="0"/>
          <w:sz w:val="24"/>
          <w:szCs w:val="24"/>
        </w:rPr>
        <w:t>dis</w:t>
      </w:r>
      <w:r w:rsidR="00AD3E09" w:rsidRPr="00595263">
        <w:rPr>
          <w:rFonts w:cstheme="minorHAnsi"/>
          <w:noProof w:val="0"/>
          <w:sz w:val="24"/>
          <w:szCs w:val="24"/>
        </w:rPr>
        <w:t>balancet pozitive  të</w:t>
      </w:r>
      <w:r w:rsidR="009C78C8" w:rsidRPr="00595263">
        <w:rPr>
          <w:rFonts w:cstheme="minorHAnsi"/>
          <w:noProof w:val="0"/>
          <w:sz w:val="24"/>
          <w:szCs w:val="24"/>
        </w:rPr>
        <w:t xml:space="preserve"> TSO </w:t>
      </w:r>
      <w:r w:rsidR="00AD3E09" w:rsidRPr="00595263">
        <w:rPr>
          <w:rFonts w:cstheme="minorHAnsi"/>
          <w:noProof w:val="0"/>
          <w:sz w:val="24"/>
          <w:szCs w:val="24"/>
        </w:rPr>
        <w:t xml:space="preserve">së paku </w:t>
      </w:r>
      <w:r w:rsidR="009C78C8" w:rsidRPr="00595263">
        <w:rPr>
          <w:rFonts w:cstheme="minorHAnsi"/>
          <w:noProof w:val="0"/>
          <w:sz w:val="24"/>
          <w:szCs w:val="24"/>
        </w:rPr>
        <w:t xml:space="preserve">99 % </w:t>
      </w:r>
      <w:r w:rsidR="00AD3E09" w:rsidRPr="00595263">
        <w:rPr>
          <w:rFonts w:cstheme="minorHAnsi"/>
          <w:noProof w:val="0"/>
          <w:sz w:val="24"/>
          <w:szCs w:val="24"/>
        </w:rPr>
        <w:t>të kohës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cstheme="minorHAnsi"/>
          <w:i/>
          <w:iCs/>
          <w:noProof w:val="0"/>
          <w:sz w:val="24"/>
          <w:szCs w:val="24"/>
        </w:rPr>
        <w:t>t</w:t>
      </w:r>
      <w:r w:rsidR="009C78C8" w:rsidRPr="00595263">
        <w:rPr>
          <w:rFonts w:cstheme="minorHAnsi"/>
          <w:noProof w:val="0"/>
          <w:sz w:val="24"/>
          <w:szCs w:val="24"/>
        </w:rPr>
        <w:t xml:space="preserve">;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</w:p>
    <w:p w:rsidR="009C78C8" w:rsidRPr="009A1ED3" w:rsidRDefault="00AD3E09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w:r w:rsidRPr="009A1ED3">
        <w:rPr>
          <w:rFonts w:cstheme="minorHAnsi"/>
          <w:noProof w:val="0"/>
          <w:sz w:val="24"/>
          <w:szCs w:val="24"/>
        </w:rPr>
        <w:t xml:space="preserve">Përpjesa e kapacitetit rezervë të </w:t>
      </w:r>
      <w:r w:rsidR="009C78C8" w:rsidRPr="009A1ED3">
        <w:rPr>
          <w:rFonts w:cstheme="minorHAnsi"/>
          <w:noProof w:val="0"/>
          <w:sz w:val="24"/>
          <w:szCs w:val="24"/>
        </w:rPr>
        <w:t xml:space="preserve">FRR </w:t>
      </w:r>
      <w:r w:rsidRPr="009A1ED3">
        <w:rPr>
          <w:rFonts w:cstheme="minorHAnsi"/>
          <w:noProof w:val="0"/>
          <w:sz w:val="24"/>
          <w:szCs w:val="24"/>
        </w:rPr>
        <w:t xml:space="preserve">në </w:t>
      </w:r>
      <w:r w:rsidR="001C52D7" w:rsidRPr="009A1ED3">
        <w:rPr>
          <w:rFonts w:cstheme="minorHAnsi"/>
          <w:noProof w:val="0"/>
          <w:sz w:val="24"/>
          <w:szCs w:val="24"/>
        </w:rPr>
        <w:t>kahun</w:t>
      </w:r>
      <w:r w:rsidRPr="009A1ED3">
        <w:rPr>
          <w:rFonts w:cstheme="minorHAnsi"/>
          <w:noProof w:val="0"/>
          <w:sz w:val="24"/>
          <w:szCs w:val="24"/>
        </w:rPr>
        <w:t xml:space="preserve"> negativ për secilin</w:t>
      </w:r>
      <w:r w:rsidR="009C78C8" w:rsidRPr="009A1ED3">
        <w:rPr>
          <w:rFonts w:cstheme="minorHAnsi"/>
          <w:noProof w:val="0"/>
          <w:sz w:val="24"/>
          <w:szCs w:val="24"/>
        </w:rPr>
        <w:t xml:space="preserve"> TSO </w:t>
      </w:r>
      <w:r w:rsidR="009C78C8" w:rsidRPr="009A1ED3">
        <w:rPr>
          <w:rFonts w:ascii="Cambria Math" w:hAnsi="Cambria Math" w:cs="Cambria Math"/>
          <w:noProof w:val="0"/>
          <w:sz w:val="24"/>
          <w:szCs w:val="24"/>
        </w:rPr>
        <w:t>𝑃𝑖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Pr="009A1ED3">
        <w:rPr>
          <w:rFonts w:cstheme="minorHAnsi"/>
          <w:noProof w:val="0"/>
          <w:sz w:val="24"/>
          <w:szCs w:val="24"/>
        </w:rPr>
        <w:t>për obligimi</w:t>
      </w:r>
      <w:r w:rsidR="00F10FD0">
        <w:rPr>
          <w:rFonts w:cstheme="minorHAnsi"/>
          <w:noProof w:val="0"/>
          <w:sz w:val="24"/>
          <w:szCs w:val="24"/>
        </w:rPr>
        <w:t>n</w:t>
      </w:r>
      <w:r w:rsidRPr="009A1ED3">
        <w:rPr>
          <w:rFonts w:cstheme="minorHAnsi"/>
          <w:noProof w:val="0"/>
          <w:sz w:val="24"/>
          <w:szCs w:val="24"/>
        </w:rPr>
        <w:t xml:space="preserve"> për </w:t>
      </w:r>
      <w:r w:rsidR="009C78C8" w:rsidRPr="009A1ED3">
        <w:rPr>
          <w:rFonts w:cstheme="minorHAnsi"/>
          <w:noProof w:val="0"/>
          <w:sz w:val="24"/>
          <w:szCs w:val="24"/>
        </w:rPr>
        <w:t xml:space="preserve">FRR </w:t>
      </w:r>
      <w:r w:rsidRPr="009A1ED3">
        <w:rPr>
          <w:rFonts w:cstheme="minorHAnsi"/>
          <w:noProof w:val="0"/>
          <w:sz w:val="24"/>
          <w:szCs w:val="24"/>
        </w:rPr>
        <w:t xml:space="preserve">për vitin kalendarik </w:t>
      </w:r>
      <w:r w:rsidR="00F10FD0" w:rsidRPr="009A1ED3">
        <w:rPr>
          <w:rFonts w:ascii="Cambria Math" w:hAnsi="Cambria Math" w:cs="Cambria Math"/>
          <w:noProof w:val="0"/>
          <w:sz w:val="24"/>
          <w:szCs w:val="24"/>
        </w:rPr>
        <w:t>𝑡</w:t>
      </w:r>
      <w:r w:rsidR="00F10FD0" w:rsidRPr="009A1ED3">
        <w:rPr>
          <w:rFonts w:cstheme="minorHAnsi"/>
          <w:noProof w:val="0"/>
          <w:sz w:val="24"/>
          <w:szCs w:val="24"/>
        </w:rPr>
        <w:t xml:space="preserve"> </w:t>
      </w:r>
      <w:r w:rsidRPr="009A1ED3">
        <w:rPr>
          <w:rFonts w:cstheme="minorHAnsi"/>
          <w:noProof w:val="0"/>
          <w:sz w:val="24"/>
          <w:szCs w:val="24"/>
        </w:rPr>
        <w:t>në shqyrtim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Pr="009A1ED3">
        <w:rPr>
          <w:rFonts w:cstheme="minorHAnsi"/>
          <w:noProof w:val="0"/>
          <w:sz w:val="24"/>
          <w:szCs w:val="24"/>
        </w:rPr>
        <w:t>do të bazohet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="00595263" w:rsidRPr="009A1ED3">
        <w:rPr>
          <w:rFonts w:cstheme="minorHAnsi"/>
          <w:noProof w:val="0"/>
          <w:sz w:val="24"/>
          <w:szCs w:val="24"/>
        </w:rPr>
        <w:t>në shprehjen vij</w:t>
      </w:r>
      <w:r w:rsidRPr="009A1ED3">
        <w:rPr>
          <w:rFonts w:cstheme="minorHAnsi"/>
          <w:noProof w:val="0"/>
          <w:sz w:val="24"/>
          <w:szCs w:val="24"/>
        </w:rPr>
        <w:t>uese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Pr="009A1ED3">
        <w:rPr>
          <w:rFonts w:cstheme="minorHAnsi"/>
          <w:noProof w:val="0"/>
          <w:sz w:val="24"/>
          <w:szCs w:val="24"/>
        </w:rPr>
        <w:t>për të gjithë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Pr="009A1ED3">
        <w:rPr>
          <w:rFonts w:cstheme="minorHAnsi"/>
          <w:noProof w:val="0"/>
          <w:sz w:val="24"/>
          <w:szCs w:val="24"/>
        </w:rPr>
        <w:t xml:space="preserve">TSO-të e Bllokut </w:t>
      </w:r>
      <w:r w:rsidR="009C78C8" w:rsidRPr="009A1ED3">
        <w:rPr>
          <w:rFonts w:cstheme="minorHAnsi"/>
          <w:noProof w:val="0"/>
          <w:sz w:val="24"/>
          <w:szCs w:val="24"/>
        </w:rPr>
        <w:t xml:space="preserve">LFC </w:t>
      </w:r>
      <w:r w:rsidR="008C4203" w:rsidRPr="009A1ED3">
        <w:rPr>
          <w:rFonts w:cstheme="minorHAnsi"/>
          <w:noProof w:val="0"/>
          <w:sz w:val="24"/>
          <w:szCs w:val="24"/>
        </w:rPr>
        <w:t>AK</w:t>
      </w:r>
      <w:r w:rsidR="009C78C8" w:rsidRPr="009A1ED3">
        <w:rPr>
          <w:rFonts w:cstheme="minorHAnsi"/>
          <w:noProof w:val="0"/>
          <w:sz w:val="24"/>
          <w:szCs w:val="24"/>
        </w:rPr>
        <w:t xml:space="preserve">: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</w:p>
    <w:p w:rsidR="0051144E" w:rsidRPr="00595263" w:rsidRDefault="00126B31" w:rsidP="00DE7D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noProof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i,t-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FRR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-dimensioning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max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FRR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i,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det⁡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_need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,-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FRR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i,prob_need</m:t>
                          </m:r>
                        </m:sub>
                      </m:sSub>
                    </m:e>
                  </m:d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max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FRR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i,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det⁡</m:t>
                              </m:r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_need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FRR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i,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prob_need</m:t>
                              </m:r>
                            </m:sub>
                          </m:sSub>
                        </m:e>
                      </m:d>
                    </m:e>
                  </m:nary>
                </m:den>
              </m:f>
            </m:e>
          </m:d>
        </m:oMath>
      </m:oMathPara>
    </w:p>
    <w:p w:rsidR="0051144E" w:rsidRPr="00595263" w:rsidRDefault="00AF0AB3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w:r w:rsidRPr="00595263">
        <w:rPr>
          <w:rFonts w:cstheme="minorHAnsi"/>
          <w:noProof w:val="0"/>
          <w:sz w:val="24"/>
          <w:szCs w:val="24"/>
        </w:rPr>
        <w:t>Ku</w:t>
      </w:r>
      <w:r w:rsidR="009C78C8" w:rsidRPr="00595263">
        <w:rPr>
          <w:rFonts w:cstheme="minorHAnsi"/>
          <w:noProof w:val="0"/>
          <w:sz w:val="24"/>
          <w:szCs w:val="24"/>
        </w:rPr>
        <w:t xml:space="preserve">: </w:t>
      </w:r>
    </w:p>
    <w:p w:rsidR="009C78C8" w:rsidRPr="00595263" w:rsidRDefault="00126B31" w:rsidP="00DE7D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noProof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noProof w:val="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Cambria Math"/>
                <w:noProof w:val="0"/>
                <w:sz w:val="24"/>
                <w:szCs w:val="24"/>
              </w:rPr>
              <m:t>i,t</m:t>
            </m:r>
          </m:sub>
        </m:sSub>
      </m:oMath>
      <w:r w:rsidR="009C78C8" w:rsidRPr="00595263">
        <w:rPr>
          <w:rFonts w:cstheme="minorHAnsi"/>
          <w:noProof w:val="0"/>
          <w:sz w:val="24"/>
          <w:szCs w:val="24"/>
        </w:rPr>
        <w:t xml:space="preserve">− </w:t>
      </w:r>
      <w:r w:rsidR="00AD3E09" w:rsidRPr="00595263">
        <w:rPr>
          <w:rFonts w:cstheme="minorHAnsi"/>
          <w:noProof w:val="0"/>
          <w:sz w:val="24"/>
          <w:szCs w:val="24"/>
        </w:rPr>
        <w:t xml:space="preserve">është obligimi </w:t>
      </w:r>
      <w:r w:rsidR="00D12D47">
        <w:rPr>
          <w:rFonts w:cstheme="minorHAnsi"/>
          <w:noProof w:val="0"/>
          <w:sz w:val="24"/>
          <w:szCs w:val="24"/>
        </w:rPr>
        <w:t>fillestar</w:t>
      </w:r>
      <w:r w:rsidR="00D12D47" w:rsidRPr="00595263">
        <w:rPr>
          <w:rFonts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 xml:space="preserve">për </w:t>
      </w:r>
      <w:r w:rsidR="009C78C8" w:rsidRPr="00595263">
        <w:rPr>
          <w:rFonts w:cstheme="minorHAnsi"/>
          <w:noProof w:val="0"/>
          <w:sz w:val="24"/>
          <w:szCs w:val="24"/>
        </w:rPr>
        <w:t xml:space="preserve">FRR </w:t>
      </w:r>
      <w:r w:rsidR="00AD3E09" w:rsidRPr="00595263">
        <w:rPr>
          <w:rFonts w:cstheme="minorHAnsi"/>
          <w:noProof w:val="0"/>
          <w:sz w:val="24"/>
          <w:szCs w:val="24"/>
        </w:rPr>
        <w:t>pë</w:t>
      </w:r>
      <w:r w:rsidR="00C24E39">
        <w:rPr>
          <w:rFonts w:cstheme="minorHAnsi"/>
          <w:noProof w:val="0"/>
          <w:sz w:val="24"/>
          <w:szCs w:val="24"/>
        </w:rPr>
        <w:t>r</w:t>
      </w:r>
      <w:r w:rsidR="00AD3E09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cstheme="minorHAnsi"/>
          <w:noProof w:val="0"/>
          <w:sz w:val="24"/>
          <w:szCs w:val="24"/>
        </w:rPr>
        <w:t xml:space="preserve">TSO </w:t>
      </w:r>
      <w:r w:rsidR="009C78C8" w:rsidRPr="00595263">
        <w:rPr>
          <w:rFonts w:cstheme="minorHAnsi"/>
          <w:i/>
          <w:iCs/>
          <w:noProof w:val="0"/>
          <w:sz w:val="24"/>
          <w:szCs w:val="24"/>
        </w:rPr>
        <w:t xml:space="preserve">i </w:t>
      </w:r>
      <w:r w:rsidR="00AD3E09" w:rsidRPr="00595263">
        <w:rPr>
          <w:rFonts w:cstheme="minorHAnsi"/>
          <w:noProof w:val="0"/>
          <w:sz w:val="24"/>
          <w:szCs w:val="24"/>
        </w:rPr>
        <w:t>për vitin kalendarik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ascii="Cambria Math" w:hAnsi="Cambria Math" w:cs="Cambria Math"/>
          <w:noProof w:val="0"/>
          <w:sz w:val="24"/>
          <w:szCs w:val="24"/>
        </w:rPr>
        <w:t>𝑡</w:t>
      </w:r>
      <w:r w:rsidR="009C78C8" w:rsidRPr="00595263">
        <w:rPr>
          <w:rFonts w:cstheme="minorHAnsi"/>
          <w:noProof w:val="0"/>
          <w:sz w:val="24"/>
          <w:szCs w:val="24"/>
        </w:rPr>
        <w:t xml:space="preserve">; </w:t>
      </w:r>
    </w:p>
    <w:p w:rsidR="009C78C8" w:rsidRPr="00595263" w:rsidRDefault="00126B31" w:rsidP="00DE7D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noProof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FRR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dimensioning</m:t>
            </m:r>
          </m:sub>
        </m:sSub>
      </m:oMath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D3E09" w:rsidRPr="00595263">
        <w:rPr>
          <w:rFonts w:cstheme="minorHAnsi"/>
          <w:noProof w:val="0"/>
          <w:sz w:val="24"/>
          <w:szCs w:val="24"/>
        </w:rPr>
        <w:t xml:space="preserve">është vlera </w:t>
      </w:r>
      <w:r w:rsidR="00BB1CB4" w:rsidRPr="00595263">
        <w:rPr>
          <w:rFonts w:cstheme="minorHAnsi"/>
          <w:noProof w:val="0"/>
          <w:sz w:val="24"/>
          <w:szCs w:val="24"/>
        </w:rPr>
        <w:t>e</w:t>
      </w:r>
      <w:r w:rsidR="00D12D47">
        <w:rPr>
          <w:rFonts w:cstheme="minorHAnsi"/>
          <w:noProof w:val="0"/>
          <w:sz w:val="24"/>
          <w:szCs w:val="24"/>
        </w:rPr>
        <w:t xml:space="preserve"> dimensionimit te</w:t>
      </w:r>
      <w:r w:rsidR="00BB1CB4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cstheme="minorHAnsi"/>
          <w:noProof w:val="0"/>
          <w:sz w:val="24"/>
          <w:szCs w:val="24"/>
        </w:rPr>
        <w:t xml:space="preserve">FRR </w:t>
      </w:r>
      <w:r w:rsidR="00BB1CB4" w:rsidRPr="00595263">
        <w:rPr>
          <w:rFonts w:cstheme="minorHAnsi"/>
          <w:noProof w:val="0"/>
          <w:sz w:val="24"/>
          <w:szCs w:val="24"/>
        </w:rPr>
        <w:t xml:space="preserve">e </w:t>
      </w:r>
      <w:r w:rsidR="00D12D47">
        <w:rPr>
          <w:rFonts w:cstheme="minorHAnsi"/>
          <w:noProof w:val="0"/>
          <w:sz w:val="24"/>
          <w:szCs w:val="24"/>
        </w:rPr>
        <w:t>llogaritur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BB1CB4" w:rsidRPr="00595263">
        <w:rPr>
          <w:rFonts w:cstheme="minorHAnsi"/>
          <w:noProof w:val="0"/>
          <w:sz w:val="24"/>
          <w:szCs w:val="24"/>
        </w:rPr>
        <w:t>për Bllokun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F10FD0">
        <w:rPr>
          <w:rFonts w:cstheme="minorHAnsi"/>
          <w:noProof w:val="0"/>
          <w:sz w:val="24"/>
          <w:szCs w:val="24"/>
        </w:rPr>
        <w:t xml:space="preserve">LFC </w:t>
      </w:r>
      <w:r w:rsidR="008C4203" w:rsidRPr="00595263">
        <w:rPr>
          <w:rFonts w:cstheme="minorHAnsi"/>
          <w:noProof w:val="0"/>
          <w:sz w:val="24"/>
          <w:szCs w:val="24"/>
        </w:rPr>
        <w:t>AK</w:t>
      </w:r>
      <w:r w:rsidR="009C78C8" w:rsidRPr="00595263">
        <w:rPr>
          <w:rFonts w:cstheme="minorHAnsi"/>
          <w:noProof w:val="0"/>
          <w:sz w:val="24"/>
          <w:szCs w:val="24"/>
        </w:rPr>
        <w:t xml:space="preserve">; </w:t>
      </w:r>
    </w:p>
    <w:p w:rsidR="009C78C8" w:rsidRPr="00595263" w:rsidRDefault="00126B31" w:rsidP="00DE7D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FRR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i,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det _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need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 xml:space="preserve"> </m:t>
            </m:r>
          </m:sub>
        </m:sSub>
      </m:oMath>
      <w:r w:rsidR="00AF0AB3" w:rsidRPr="00595263">
        <w:rPr>
          <w:rFonts w:cstheme="minorHAnsi"/>
          <w:noProof w:val="0"/>
          <w:sz w:val="24"/>
          <w:szCs w:val="24"/>
        </w:rPr>
        <w:t>është kapaciteti rezervë në zonën rregulluese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cstheme="minorHAnsi"/>
          <w:i/>
          <w:iCs/>
          <w:noProof w:val="0"/>
          <w:sz w:val="24"/>
          <w:szCs w:val="24"/>
        </w:rPr>
        <w:t xml:space="preserve">i </w:t>
      </w:r>
      <w:r w:rsidR="00AF0AB3" w:rsidRPr="00595263">
        <w:rPr>
          <w:rFonts w:cstheme="minorHAnsi"/>
          <w:noProof w:val="0"/>
          <w:sz w:val="24"/>
          <w:szCs w:val="24"/>
        </w:rPr>
        <w:t xml:space="preserve">gjatë periudhës së referuar në paragrafin e parë, e </w:t>
      </w:r>
      <w:r w:rsidR="00D12D47">
        <w:rPr>
          <w:rFonts w:cstheme="minorHAnsi"/>
          <w:noProof w:val="0"/>
          <w:sz w:val="24"/>
          <w:szCs w:val="24"/>
        </w:rPr>
        <w:t>llogaritur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D12D47">
        <w:rPr>
          <w:rFonts w:cstheme="minorHAnsi"/>
          <w:noProof w:val="0"/>
          <w:sz w:val="24"/>
          <w:szCs w:val="24"/>
        </w:rPr>
        <w:t>sipas</w:t>
      </w:r>
      <w:r w:rsidR="00AF0AB3" w:rsidRPr="00595263">
        <w:rPr>
          <w:rFonts w:cstheme="minorHAnsi"/>
          <w:noProof w:val="0"/>
          <w:sz w:val="24"/>
          <w:szCs w:val="24"/>
        </w:rPr>
        <w:t xml:space="preserve"> </w:t>
      </w:r>
      <w:r w:rsidR="00D12D47" w:rsidRPr="00595263">
        <w:rPr>
          <w:rFonts w:cstheme="minorHAnsi"/>
          <w:noProof w:val="0"/>
          <w:sz w:val="24"/>
          <w:szCs w:val="24"/>
        </w:rPr>
        <w:t>metodologji</w:t>
      </w:r>
      <w:r w:rsidR="00D12D47">
        <w:rPr>
          <w:rFonts w:cstheme="minorHAnsi"/>
          <w:noProof w:val="0"/>
          <w:sz w:val="24"/>
          <w:szCs w:val="24"/>
        </w:rPr>
        <w:t>s</w:t>
      </w:r>
      <w:r w:rsidR="00D12D47" w:rsidRPr="00595263">
        <w:rPr>
          <w:rFonts w:cstheme="minorHAnsi"/>
          <w:noProof w:val="0"/>
          <w:sz w:val="24"/>
          <w:szCs w:val="24"/>
        </w:rPr>
        <w:t xml:space="preserve">ë </w:t>
      </w:r>
      <w:r w:rsidR="00F10FD0">
        <w:rPr>
          <w:rFonts w:cstheme="minorHAnsi"/>
          <w:noProof w:val="0"/>
          <w:sz w:val="24"/>
          <w:szCs w:val="24"/>
        </w:rPr>
        <w:t>probabilistike</w:t>
      </w:r>
      <w:r w:rsidR="009C78C8" w:rsidRPr="00595263">
        <w:rPr>
          <w:rFonts w:cstheme="minorHAnsi"/>
          <w:noProof w:val="0"/>
          <w:sz w:val="24"/>
          <w:szCs w:val="24"/>
        </w:rPr>
        <w:t xml:space="preserve">, </w:t>
      </w:r>
      <w:r w:rsidR="00AF0AB3" w:rsidRPr="00595263">
        <w:rPr>
          <w:rFonts w:cstheme="minorHAnsi"/>
          <w:noProof w:val="0"/>
          <w:sz w:val="24"/>
          <w:szCs w:val="24"/>
        </w:rPr>
        <w:t>d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F0AB3" w:rsidRPr="00595263">
        <w:rPr>
          <w:rFonts w:cstheme="minorHAnsi"/>
          <w:noProof w:val="0"/>
          <w:sz w:val="24"/>
          <w:szCs w:val="24"/>
        </w:rPr>
        <w:t>m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F0AB3" w:rsidRPr="00595263">
        <w:rPr>
          <w:rFonts w:cstheme="minorHAnsi"/>
          <w:noProof w:val="0"/>
          <w:sz w:val="24"/>
          <w:szCs w:val="24"/>
        </w:rPr>
        <w:t>th.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F0AB3" w:rsidRPr="00595263">
        <w:rPr>
          <w:rFonts w:cstheme="minorHAnsi"/>
          <w:noProof w:val="0"/>
          <w:sz w:val="24"/>
          <w:szCs w:val="24"/>
        </w:rPr>
        <w:t>e barabartë me incidentin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DE7D64">
        <w:rPr>
          <w:rFonts w:cstheme="minorHAnsi"/>
          <w:noProof w:val="0"/>
          <w:sz w:val="24"/>
          <w:szCs w:val="24"/>
        </w:rPr>
        <w:t>qe merret gjate dimensionimit</w:t>
      </w:r>
      <w:r w:rsidR="00DE7D64" w:rsidRPr="00595263">
        <w:rPr>
          <w:rFonts w:cstheme="minorHAnsi"/>
          <w:noProof w:val="0"/>
          <w:sz w:val="24"/>
          <w:szCs w:val="24"/>
        </w:rPr>
        <w:t xml:space="preserve"> </w:t>
      </w:r>
      <w:r w:rsidR="00DE7D64">
        <w:rPr>
          <w:rFonts w:cstheme="minorHAnsi"/>
          <w:noProof w:val="0"/>
          <w:sz w:val="24"/>
          <w:szCs w:val="24"/>
        </w:rPr>
        <w:t>negati</w:t>
      </w:r>
      <w:r w:rsidR="00DE7D64" w:rsidRPr="00595263">
        <w:rPr>
          <w:rFonts w:cstheme="minorHAnsi"/>
          <w:noProof w:val="0"/>
          <w:sz w:val="24"/>
          <w:szCs w:val="24"/>
        </w:rPr>
        <w:t>v</w:t>
      </w:r>
      <w:r w:rsidR="00DE7D64">
        <w:rPr>
          <w:rFonts w:cstheme="minorHAnsi"/>
          <w:noProof w:val="0"/>
          <w:sz w:val="24"/>
          <w:szCs w:val="24"/>
        </w:rPr>
        <w:t xml:space="preserve"> te rezervës </w:t>
      </w:r>
      <w:r w:rsidR="00DE7D64" w:rsidRPr="00595263">
        <w:rPr>
          <w:rFonts w:cstheme="minorHAnsi"/>
          <w:noProof w:val="0"/>
          <w:sz w:val="24"/>
          <w:szCs w:val="24"/>
        </w:rPr>
        <w:t xml:space="preserve"> </w:t>
      </w:r>
      <w:r w:rsidR="00AF0AB3" w:rsidRPr="00595263">
        <w:rPr>
          <w:rFonts w:cstheme="minorHAnsi"/>
          <w:noProof w:val="0"/>
          <w:sz w:val="24"/>
          <w:szCs w:val="24"/>
        </w:rPr>
        <w:t>për</w:t>
      </w:r>
      <w:r w:rsidR="00DE7D64" w:rsidRPr="00595263">
        <w:rPr>
          <w:rFonts w:cstheme="minorHAnsi"/>
          <w:noProof w:val="0"/>
          <w:sz w:val="24"/>
          <w:szCs w:val="24"/>
        </w:rPr>
        <w:t xml:space="preserve"> atë</w:t>
      </w:r>
      <w:r w:rsidR="009C78C8" w:rsidRPr="00595263">
        <w:rPr>
          <w:rFonts w:cstheme="minorHAnsi"/>
          <w:noProof w:val="0"/>
          <w:sz w:val="24"/>
          <w:szCs w:val="24"/>
        </w:rPr>
        <w:t xml:space="preserve"> TSO; </w:t>
      </w:r>
    </w:p>
    <w:p w:rsidR="009C78C8" w:rsidRPr="00595263" w:rsidRDefault="00126B31" w:rsidP="00DE7D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FRRi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i,  prob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_</m:t>
            </m:r>
            <m:r>
              <m:rPr>
                <m:sty m:val="p"/>
              </m:rPr>
              <w:rPr>
                <w:rFonts w:ascii="Cambria Math" w:hAnsi="Cambria Math" w:cs="Cambria Math"/>
                <w:noProof w:val="0"/>
                <w:sz w:val="24"/>
                <w:szCs w:val="24"/>
              </w:rPr>
              <m:t>need</m:t>
            </m:r>
          </m:sub>
        </m:sSub>
      </m:oMath>
      <w:r w:rsidR="00AF0AB3" w:rsidRPr="00595263">
        <w:rPr>
          <w:rFonts w:cstheme="minorHAnsi"/>
          <w:noProof w:val="0"/>
          <w:sz w:val="24"/>
          <w:szCs w:val="24"/>
        </w:rPr>
        <w:t>është kapaciteti rezervë për zonën rregulluese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F0AB3" w:rsidRPr="00595263">
        <w:rPr>
          <w:rFonts w:cstheme="minorHAnsi"/>
          <w:noProof w:val="0"/>
          <w:sz w:val="24"/>
          <w:szCs w:val="24"/>
        </w:rPr>
        <w:t xml:space="preserve">gjatë periudhës së referuar në paragrafin e parë, e </w:t>
      </w:r>
      <w:r w:rsidR="00D12D47">
        <w:rPr>
          <w:rFonts w:cstheme="minorHAnsi"/>
          <w:noProof w:val="0"/>
          <w:sz w:val="24"/>
          <w:szCs w:val="24"/>
        </w:rPr>
        <w:t>llogaritur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D12D47">
        <w:rPr>
          <w:rFonts w:cstheme="minorHAnsi"/>
          <w:noProof w:val="0"/>
          <w:sz w:val="24"/>
          <w:szCs w:val="24"/>
        </w:rPr>
        <w:t>sipas</w:t>
      </w:r>
      <w:r w:rsidR="00AF0AB3" w:rsidRPr="00595263">
        <w:rPr>
          <w:rFonts w:cstheme="minorHAnsi"/>
          <w:noProof w:val="0"/>
          <w:sz w:val="24"/>
          <w:szCs w:val="24"/>
        </w:rPr>
        <w:t xml:space="preserve"> </w:t>
      </w:r>
      <w:r w:rsidR="00D12D47" w:rsidRPr="00595263">
        <w:rPr>
          <w:rFonts w:cstheme="minorHAnsi"/>
          <w:noProof w:val="0"/>
          <w:sz w:val="24"/>
          <w:szCs w:val="24"/>
        </w:rPr>
        <w:t>metodologji</w:t>
      </w:r>
      <w:r w:rsidR="00D12D47">
        <w:rPr>
          <w:rFonts w:cstheme="minorHAnsi"/>
          <w:noProof w:val="0"/>
          <w:sz w:val="24"/>
          <w:szCs w:val="24"/>
        </w:rPr>
        <w:t>s</w:t>
      </w:r>
      <w:r w:rsidR="00D12D47" w:rsidRPr="00595263">
        <w:rPr>
          <w:rFonts w:cstheme="minorHAnsi"/>
          <w:noProof w:val="0"/>
          <w:sz w:val="24"/>
          <w:szCs w:val="24"/>
        </w:rPr>
        <w:t xml:space="preserve">ë </w:t>
      </w:r>
      <w:r w:rsidR="00AF0AB3" w:rsidRPr="00595263">
        <w:rPr>
          <w:rFonts w:cstheme="minorHAnsi"/>
          <w:noProof w:val="0"/>
          <w:sz w:val="24"/>
          <w:szCs w:val="24"/>
        </w:rPr>
        <w:t>probabilistike</w:t>
      </w:r>
      <w:r w:rsidR="009C78C8" w:rsidRPr="00595263">
        <w:rPr>
          <w:rFonts w:cstheme="minorHAnsi"/>
          <w:noProof w:val="0"/>
          <w:sz w:val="24"/>
          <w:szCs w:val="24"/>
        </w:rPr>
        <w:t xml:space="preserve">, </w:t>
      </w:r>
      <w:r w:rsidR="00AF0AB3" w:rsidRPr="00595263">
        <w:rPr>
          <w:rFonts w:cstheme="minorHAnsi"/>
          <w:noProof w:val="0"/>
          <w:sz w:val="24"/>
          <w:szCs w:val="24"/>
        </w:rPr>
        <w:t>d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F0AB3" w:rsidRPr="00595263">
        <w:rPr>
          <w:rFonts w:cstheme="minorHAnsi"/>
          <w:noProof w:val="0"/>
          <w:sz w:val="24"/>
          <w:szCs w:val="24"/>
        </w:rPr>
        <w:t>m</w:t>
      </w:r>
      <w:r w:rsidR="009C78C8" w:rsidRPr="00595263">
        <w:rPr>
          <w:rFonts w:cstheme="minorHAnsi"/>
          <w:noProof w:val="0"/>
          <w:sz w:val="24"/>
          <w:szCs w:val="24"/>
        </w:rPr>
        <w:t>.</w:t>
      </w:r>
      <w:r w:rsidR="00AF0AB3" w:rsidRPr="00595263">
        <w:rPr>
          <w:rFonts w:cstheme="minorHAnsi"/>
          <w:noProof w:val="0"/>
          <w:sz w:val="24"/>
          <w:szCs w:val="24"/>
        </w:rPr>
        <w:t>th.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AF0AB3" w:rsidRPr="00595263">
        <w:rPr>
          <w:rFonts w:cstheme="minorHAnsi"/>
          <w:noProof w:val="0"/>
          <w:sz w:val="24"/>
          <w:szCs w:val="24"/>
        </w:rPr>
        <w:t xml:space="preserve">kapaciteti rezervë </w:t>
      </w:r>
      <w:r w:rsidR="009C78C8" w:rsidRPr="00595263">
        <w:rPr>
          <w:rFonts w:cstheme="minorHAnsi"/>
          <w:noProof w:val="0"/>
          <w:sz w:val="24"/>
          <w:szCs w:val="24"/>
        </w:rPr>
        <w:t xml:space="preserve">negativ </w:t>
      </w:r>
      <w:r w:rsidR="00AF0AB3" w:rsidRPr="00595263">
        <w:rPr>
          <w:rFonts w:cstheme="minorHAnsi"/>
          <w:noProof w:val="0"/>
          <w:sz w:val="24"/>
          <w:szCs w:val="24"/>
        </w:rPr>
        <w:t>i</w:t>
      </w:r>
      <w:r w:rsidR="009C78C8" w:rsidRPr="00595263">
        <w:rPr>
          <w:rFonts w:cstheme="minorHAnsi"/>
          <w:noProof w:val="0"/>
          <w:sz w:val="24"/>
          <w:szCs w:val="24"/>
        </w:rPr>
        <w:t xml:space="preserve"> FRR </w:t>
      </w:r>
      <w:r w:rsidR="00AF0AB3" w:rsidRPr="00595263">
        <w:rPr>
          <w:rFonts w:cstheme="minorHAnsi"/>
          <w:noProof w:val="0"/>
          <w:sz w:val="24"/>
          <w:szCs w:val="24"/>
        </w:rPr>
        <w:t xml:space="preserve">është i mjaftueshëm për mbulimin e </w:t>
      </w:r>
      <w:r w:rsidR="00D12D47">
        <w:rPr>
          <w:rFonts w:cstheme="minorHAnsi"/>
          <w:noProof w:val="0"/>
          <w:sz w:val="24"/>
          <w:szCs w:val="24"/>
        </w:rPr>
        <w:t>dis</w:t>
      </w:r>
      <w:r w:rsidR="00AF0AB3" w:rsidRPr="00595263">
        <w:rPr>
          <w:rFonts w:cstheme="minorHAnsi"/>
          <w:noProof w:val="0"/>
          <w:sz w:val="24"/>
          <w:szCs w:val="24"/>
        </w:rPr>
        <w:t>balanceve negative të</w:t>
      </w:r>
      <w:r w:rsidR="009C78C8" w:rsidRPr="00595263">
        <w:rPr>
          <w:rFonts w:cstheme="minorHAnsi"/>
          <w:noProof w:val="0"/>
          <w:sz w:val="24"/>
          <w:szCs w:val="24"/>
        </w:rPr>
        <w:t xml:space="preserve"> TSO </w:t>
      </w:r>
      <w:r w:rsidR="00595263">
        <w:rPr>
          <w:rFonts w:cstheme="minorHAnsi"/>
          <w:noProof w:val="0"/>
          <w:sz w:val="24"/>
          <w:szCs w:val="24"/>
        </w:rPr>
        <w:t>s</w:t>
      </w:r>
      <w:r w:rsidR="00AF0AB3" w:rsidRPr="00595263">
        <w:rPr>
          <w:rFonts w:cstheme="minorHAnsi"/>
          <w:noProof w:val="0"/>
          <w:sz w:val="24"/>
          <w:szCs w:val="24"/>
        </w:rPr>
        <w:t xml:space="preserve">ë paku </w:t>
      </w:r>
      <w:r w:rsidR="009C78C8" w:rsidRPr="00595263">
        <w:rPr>
          <w:rFonts w:cstheme="minorHAnsi"/>
          <w:noProof w:val="0"/>
          <w:sz w:val="24"/>
          <w:szCs w:val="24"/>
        </w:rPr>
        <w:t xml:space="preserve">99 % </w:t>
      </w:r>
      <w:r w:rsidR="00AF0AB3" w:rsidRPr="00595263">
        <w:rPr>
          <w:rFonts w:cstheme="minorHAnsi"/>
          <w:noProof w:val="0"/>
          <w:sz w:val="24"/>
          <w:szCs w:val="24"/>
        </w:rPr>
        <w:t>të kohës</w:t>
      </w:r>
      <w:r w:rsidR="009C78C8" w:rsidRPr="00595263">
        <w:rPr>
          <w:rFonts w:cstheme="minorHAnsi"/>
          <w:noProof w:val="0"/>
          <w:sz w:val="24"/>
          <w:szCs w:val="24"/>
        </w:rPr>
        <w:t xml:space="preserve"> </w:t>
      </w:r>
      <w:r w:rsidR="009C78C8" w:rsidRPr="00595263">
        <w:rPr>
          <w:rFonts w:cstheme="minorHAnsi"/>
          <w:i/>
          <w:iCs/>
          <w:noProof w:val="0"/>
          <w:sz w:val="24"/>
          <w:szCs w:val="24"/>
        </w:rPr>
        <w:t>t</w:t>
      </w:r>
      <w:r w:rsidR="009C78C8" w:rsidRPr="00595263">
        <w:rPr>
          <w:rFonts w:cstheme="minorHAnsi"/>
          <w:noProof w:val="0"/>
          <w:sz w:val="24"/>
          <w:szCs w:val="24"/>
        </w:rPr>
        <w:t xml:space="preserve">; </w:t>
      </w:r>
    </w:p>
    <w:p w:rsidR="0051144E" w:rsidRPr="00595263" w:rsidRDefault="0051144E" w:rsidP="00DE7D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</w:p>
    <w:p w:rsidR="009C78C8" w:rsidRPr="009A1ED3" w:rsidRDefault="00AF0AB3" w:rsidP="00DE7D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  <w:r w:rsidRPr="009A1ED3">
        <w:rPr>
          <w:rFonts w:cstheme="minorHAnsi"/>
          <w:noProof w:val="0"/>
          <w:sz w:val="24"/>
          <w:szCs w:val="24"/>
        </w:rPr>
        <w:t>Çdo vit, por jo më vonë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Pr="009A1ED3">
        <w:rPr>
          <w:rFonts w:cstheme="minorHAnsi"/>
          <w:noProof w:val="0"/>
          <w:sz w:val="24"/>
          <w:szCs w:val="24"/>
        </w:rPr>
        <w:t>se 15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Pr="009A1ED3">
        <w:rPr>
          <w:rFonts w:cstheme="minorHAnsi"/>
          <w:noProof w:val="0"/>
          <w:sz w:val="24"/>
          <w:szCs w:val="24"/>
        </w:rPr>
        <w:t>Korrik</w:t>
      </w:r>
      <w:r w:rsidR="009C78C8" w:rsidRPr="009A1ED3">
        <w:rPr>
          <w:rFonts w:cstheme="minorHAnsi"/>
          <w:noProof w:val="0"/>
          <w:sz w:val="24"/>
          <w:szCs w:val="24"/>
        </w:rPr>
        <w:t xml:space="preserve">, </w:t>
      </w:r>
      <w:r w:rsidRPr="009A1ED3">
        <w:rPr>
          <w:rFonts w:cstheme="minorHAnsi"/>
          <w:noProof w:val="0"/>
          <w:sz w:val="24"/>
          <w:szCs w:val="24"/>
        </w:rPr>
        <w:t>TSO-të e Bllokut</w:t>
      </w:r>
      <w:r w:rsidR="009C78C8" w:rsidRPr="009A1ED3">
        <w:rPr>
          <w:rFonts w:cstheme="minorHAnsi"/>
          <w:noProof w:val="0"/>
          <w:sz w:val="24"/>
          <w:szCs w:val="24"/>
        </w:rPr>
        <w:t xml:space="preserve">  </w:t>
      </w:r>
      <w:r w:rsidR="00F10FD0" w:rsidRPr="00B63977">
        <w:rPr>
          <w:rFonts w:cstheme="minorHAnsi"/>
          <w:noProof w:val="0"/>
          <w:sz w:val="24"/>
          <w:szCs w:val="24"/>
        </w:rPr>
        <w:t>LFC</w:t>
      </w:r>
      <w:r w:rsidR="00F10FD0" w:rsidRPr="009A1ED3">
        <w:rPr>
          <w:rFonts w:cstheme="minorHAnsi"/>
          <w:noProof w:val="0"/>
          <w:sz w:val="24"/>
          <w:szCs w:val="24"/>
        </w:rPr>
        <w:t xml:space="preserve"> </w:t>
      </w:r>
      <w:r w:rsidR="008C4203" w:rsidRPr="009A1ED3">
        <w:rPr>
          <w:rFonts w:cstheme="minorHAnsi"/>
          <w:noProof w:val="0"/>
          <w:sz w:val="24"/>
          <w:szCs w:val="24"/>
        </w:rPr>
        <w:t>AK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="00595263" w:rsidRPr="009A1ED3">
        <w:rPr>
          <w:rFonts w:cstheme="minorHAnsi"/>
          <w:noProof w:val="0"/>
          <w:sz w:val="24"/>
          <w:szCs w:val="24"/>
        </w:rPr>
        <w:t>duhet ti o</w:t>
      </w:r>
      <w:r w:rsidRPr="009A1ED3">
        <w:rPr>
          <w:rFonts w:cstheme="minorHAnsi"/>
          <w:noProof w:val="0"/>
          <w:sz w:val="24"/>
          <w:szCs w:val="24"/>
        </w:rPr>
        <w:t>frojnë njëri tjetrit të dhënat e nevojshm</w:t>
      </w:r>
      <w:r w:rsidR="00EE19C4" w:rsidRPr="009A1ED3">
        <w:rPr>
          <w:rFonts w:cstheme="minorHAnsi"/>
          <w:noProof w:val="0"/>
          <w:sz w:val="24"/>
          <w:szCs w:val="24"/>
        </w:rPr>
        <w:t>e</w:t>
      </w:r>
      <w:r w:rsidR="009C78C8" w:rsidRPr="009A1ED3">
        <w:rPr>
          <w:rFonts w:cstheme="minorHAnsi"/>
          <w:noProof w:val="0"/>
          <w:sz w:val="24"/>
          <w:szCs w:val="24"/>
        </w:rPr>
        <w:t xml:space="preserve"> </w:t>
      </w:r>
      <w:r w:rsidR="00D12D47">
        <w:rPr>
          <w:rFonts w:cstheme="minorHAnsi"/>
          <w:noProof w:val="0"/>
          <w:sz w:val="24"/>
          <w:szCs w:val="24"/>
        </w:rPr>
        <w:t xml:space="preserve">për te bere llogaritjet </w:t>
      </w:r>
      <w:r w:rsidR="00EE19C4" w:rsidRPr="009A1ED3">
        <w:rPr>
          <w:rFonts w:cstheme="minorHAnsi"/>
          <w:noProof w:val="0"/>
          <w:sz w:val="24"/>
          <w:szCs w:val="24"/>
        </w:rPr>
        <w:t xml:space="preserve"> e përmendura më sipër</w:t>
      </w:r>
      <w:r w:rsidR="009C78C8" w:rsidRPr="009A1ED3">
        <w:rPr>
          <w:rFonts w:cstheme="minorHAnsi"/>
          <w:noProof w:val="0"/>
          <w:sz w:val="24"/>
          <w:szCs w:val="24"/>
        </w:rPr>
        <w:t xml:space="preserve">. </w:t>
      </w:r>
    </w:p>
    <w:p w:rsidR="009C78C8" w:rsidRPr="00595263" w:rsidRDefault="009C78C8" w:rsidP="00DE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2"/>
        <w:gridCol w:w="95"/>
      </w:tblGrid>
      <w:tr w:rsidR="009C78C8" w:rsidRPr="00595263" w:rsidTr="00B31200">
        <w:trPr>
          <w:gridAfter w:val="1"/>
          <w:wAfter w:w="95" w:type="dxa"/>
          <w:trHeight w:val="938"/>
        </w:trPr>
        <w:tc>
          <w:tcPr>
            <w:tcW w:w="9342" w:type="dxa"/>
          </w:tcPr>
          <w:p w:rsidR="009C78C8" w:rsidRPr="009A1ED3" w:rsidRDefault="00EE19C4" w:rsidP="00F10F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 w:val="0"/>
                <w:color w:val="000000"/>
                <w:sz w:val="24"/>
                <w:szCs w:val="24"/>
              </w:rPr>
            </w:pP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Çdo 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TSO </w:t>
            </w:r>
            <w:r w:rsidR="00D12D47">
              <w:rPr>
                <w:rFonts w:cstheme="minorHAnsi"/>
                <w:noProof w:val="0"/>
                <w:sz w:val="24"/>
                <w:szCs w:val="24"/>
              </w:rPr>
              <w:t>ne</w:t>
            </w:r>
            <w:r w:rsidR="00D12D47" w:rsidRPr="009A1ED3">
              <w:rPr>
                <w:rFonts w:cstheme="minorHAnsi"/>
                <w:noProof w:val="0"/>
                <w:sz w:val="24"/>
                <w:szCs w:val="24"/>
              </w:rPr>
              <w:t xml:space="preserve"> 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>Blloku</w:t>
            </w:r>
            <w:r w:rsidR="00F10FD0">
              <w:rPr>
                <w:rFonts w:cstheme="minorHAnsi"/>
                <w:noProof w:val="0"/>
                <w:sz w:val="24"/>
                <w:szCs w:val="24"/>
              </w:rPr>
              <w:t>n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 </w:t>
            </w:r>
            <w:r w:rsidR="00F10FD0">
              <w:rPr>
                <w:rFonts w:cstheme="minorHAnsi"/>
                <w:noProof w:val="0"/>
                <w:sz w:val="24"/>
                <w:szCs w:val="24"/>
              </w:rPr>
              <w:t xml:space="preserve">LFC </w:t>
            </w:r>
            <w:r w:rsidR="008C4203" w:rsidRPr="009A1ED3">
              <w:rPr>
                <w:rFonts w:cstheme="minorHAnsi"/>
                <w:noProof w:val="0"/>
                <w:sz w:val="24"/>
                <w:szCs w:val="24"/>
              </w:rPr>
              <w:t>AK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 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>përcakton në mënyrë të pavarur raportin e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 FRR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 automatik</w:t>
            </w:r>
            <w:r w:rsidR="00D12D47">
              <w:rPr>
                <w:rFonts w:cstheme="minorHAnsi"/>
                <w:noProof w:val="0"/>
                <w:sz w:val="24"/>
                <w:szCs w:val="24"/>
              </w:rPr>
              <w:t>e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>, FRR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 manual</w:t>
            </w:r>
            <w:r w:rsidR="00D12D47">
              <w:rPr>
                <w:rFonts w:cstheme="minorHAnsi"/>
                <w:noProof w:val="0"/>
                <w:sz w:val="24"/>
                <w:szCs w:val="24"/>
              </w:rPr>
              <w:t>e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, 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kohën për aktivizimin e plotë të 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FRR 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>automatik</w:t>
            </w:r>
            <w:r w:rsidR="00D12D47">
              <w:rPr>
                <w:rFonts w:cstheme="minorHAnsi"/>
                <w:noProof w:val="0"/>
                <w:sz w:val="24"/>
                <w:szCs w:val="24"/>
              </w:rPr>
              <w:t>e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 dhe kohën për aktivizimin e plotë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 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të 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FRR 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>manual</w:t>
            </w:r>
            <w:r w:rsidR="00D12D47">
              <w:rPr>
                <w:rFonts w:cstheme="minorHAnsi"/>
                <w:noProof w:val="0"/>
                <w:sz w:val="24"/>
                <w:szCs w:val="24"/>
              </w:rPr>
              <w:t>e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 me qëllim </w:t>
            </w:r>
            <w:r w:rsidR="00D12D47">
              <w:rPr>
                <w:rFonts w:cstheme="minorHAnsi"/>
                <w:noProof w:val="0"/>
                <w:sz w:val="24"/>
                <w:szCs w:val="24"/>
              </w:rPr>
              <w:t>qe te jete</w:t>
            </w:r>
            <w:r w:rsidRPr="009A1ED3">
              <w:rPr>
                <w:rFonts w:cstheme="minorHAnsi"/>
                <w:noProof w:val="0"/>
                <w:sz w:val="24"/>
                <w:szCs w:val="24"/>
              </w:rPr>
              <w:t xml:space="preserve"> në përputhshmëri me parametrat e synuar të</w:t>
            </w:r>
            <w:r w:rsidR="009C78C8" w:rsidRPr="009A1ED3">
              <w:rPr>
                <w:rFonts w:cstheme="minorHAnsi"/>
                <w:noProof w:val="0"/>
                <w:sz w:val="24"/>
                <w:szCs w:val="24"/>
              </w:rPr>
              <w:t xml:space="preserve"> FRCE</w:t>
            </w:r>
            <w:r w:rsidR="00FA031F" w:rsidRPr="009A1ED3">
              <w:rPr>
                <w:rFonts w:cstheme="minorHAnsi"/>
                <w:noProof w:val="0"/>
                <w:sz w:val="24"/>
                <w:szCs w:val="24"/>
              </w:rPr>
              <w:t>.</w:t>
            </w:r>
          </w:p>
        </w:tc>
      </w:tr>
      <w:tr w:rsidR="009C78C8" w:rsidRPr="00595263" w:rsidTr="00B31200">
        <w:trPr>
          <w:trHeight w:val="360"/>
        </w:trPr>
        <w:tc>
          <w:tcPr>
            <w:tcW w:w="9437" w:type="dxa"/>
            <w:gridSpan w:val="2"/>
          </w:tcPr>
          <w:p w:rsidR="009C78C8" w:rsidRPr="00595263" w:rsidRDefault="00B31200" w:rsidP="009A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noProof w:val="0"/>
                <w:color w:val="000000"/>
                <w:sz w:val="24"/>
                <w:szCs w:val="24"/>
              </w:rPr>
            </w:pPr>
            <w:r w:rsidRPr="00595263">
              <w:br w:type="page"/>
            </w:r>
          </w:p>
        </w:tc>
      </w:tr>
    </w:tbl>
    <w:p w:rsidR="009C78C8" w:rsidRPr="00595263" w:rsidRDefault="009C78C8" w:rsidP="009A1ED3">
      <w:pPr>
        <w:jc w:val="both"/>
        <w:rPr>
          <w:rFonts w:cstheme="minorHAnsi"/>
          <w:sz w:val="24"/>
          <w:szCs w:val="24"/>
        </w:rPr>
      </w:pPr>
    </w:p>
    <w:sectPr w:rsidR="009C78C8" w:rsidRPr="00595263" w:rsidSect="00771AD7">
      <w:headerReference w:type="default" r:id="rId10"/>
      <w:footerReference w:type="default" r:id="rId11"/>
      <w:pgSz w:w="12240" w:h="15840"/>
      <w:pgMar w:top="98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31" w:rsidRDefault="00126B31" w:rsidP="008C4203">
      <w:pPr>
        <w:spacing w:after="0" w:line="240" w:lineRule="auto"/>
      </w:pPr>
      <w:r>
        <w:separator/>
      </w:r>
    </w:p>
  </w:endnote>
  <w:endnote w:type="continuationSeparator" w:id="0">
    <w:p w:rsidR="00126B31" w:rsidRDefault="00126B31" w:rsidP="008C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80897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AB3" w:rsidRDefault="00AF0AB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75F41">
          <w:t>2</w:t>
        </w:r>
        <w:r>
          <w:fldChar w:fldCharType="end"/>
        </w:r>
      </w:p>
    </w:sdtContent>
  </w:sdt>
  <w:p w:rsidR="00AF0AB3" w:rsidRDefault="00AF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31" w:rsidRDefault="00126B31" w:rsidP="008C4203">
      <w:pPr>
        <w:spacing w:after="0" w:line="240" w:lineRule="auto"/>
      </w:pPr>
      <w:r>
        <w:separator/>
      </w:r>
    </w:p>
  </w:footnote>
  <w:footnote w:type="continuationSeparator" w:id="0">
    <w:p w:rsidR="00126B31" w:rsidRDefault="00126B31" w:rsidP="008C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3" w:rsidRDefault="00AF0AB3" w:rsidP="008C4203">
    <w:pPr>
      <w:pStyle w:val="Header"/>
      <w:spacing w:before="120" w:after="480"/>
    </w:pPr>
    <w:r>
      <w:rPr>
        <w:lang w:val="en-US"/>
      </w:rPr>
      <w:drawing>
        <wp:inline distT="0" distB="0" distL="0" distR="0" wp14:anchorId="41017879" wp14:editId="70779AFD">
          <wp:extent cx="996315" cy="52514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tab/>
    </w:r>
    <w:r>
      <w:tab/>
      <w:t xml:space="preserve">                                                 </w:t>
    </w:r>
    <w:r>
      <w:rPr>
        <w:lang w:val="en-US"/>
      </w:rPr>
      <w:drawing>
        <wp:inline distT="0" distB="0" distL="0" distR="0" wp14:anchorId="3781BE5E" wp14:editId="0770E98E">
          <wp:extent cx="832485" cy="525145"/>
          <wp:effectExtent l="0" t="0" r="5715" b="825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20D5"/>
    <w:multiLevelType w:val="hybridMultilevel"/>
    <w:tmpl w:val="6CC2E86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44C2"/>
    <w:multiLevelType w:val="hybridMultilevel"/>
    <w:tmpl w:val="2A06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F531B"/>
    <w:multiLevelType w:val="hybridMultilevel"/>
    <w:tmpl w:val="A990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0128A"/>
    <w:multiLevelType w:val="hybridMultilevel"/>
    <w:tmpl w:val="BE1A94F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8"/>
    <w:rsid w:val="0002586C"/>
    <w:rsid w:val="000515B6"/>
    <w:rsid w:val="000958BF"/>
    <w:rsid w:val="000A47CC"/>
    <w:rsid w:val="000C46CC"/>
    <w:rsid w:val="00126B31"/>
    <w:rsid w:val="001756FB"/>
    <w:rsid w:val="00177432"/>
    <w:rsid w:val="001C52D7"/>
    <w:rsid w:val="002413DA"/>
    <w:rsid w:val="00296A7C"/>
    <w:rsid w:val="003B339A"/>
    <w:rsid w:val="004005B8"/>
    <w:rsid w:val="00490AC4"/>
    <w:rsid w:val="00495E82"/>
    <w:rsid w:val="004D4CB8"/>
    <w:rsid w:val="004F4E5B"/>
    <w:rsid w:val="00505787"/>
    <w:rsid w:val="0051144E"/>
    <w:rsid w:val="00557D32"/>
    <w:rsid w:val="00595263"/>
    <w:rsid w:val="005B5444"/>
    <w:rsid w:val="005C1242"/>
    <w:rsid w:val="005F766F"/>
    <w:rsid w:val="00601A0A"/>
    <w:rsid w:val="00656A1D"/>
    <w:rsid w:val="00706122"/>
    <w:rsid w:val="007102BF"/>
    <w:rsid w:val="00771AD7"/>
    <w:rsid w:val="007B5D06"/>
    <w:rsid w:val="007C75D7"/>
    <w:rsid w:val="00817B5E"/>
    <w:rsid w:val="00870255"/>
    <w:rsid w:val="008C4203"/>
    <w:rsid w:val="00962843"/>
    <w:rsid w:val="00970990"/>
    <w:rsid w:val="009A1ED3"/>
    <w:rsid w:val="009C78C8"/>
    <w:rsid w:val="009D1FE1"/>
    <w:rsid w:val="009F7FB1"/>
    <w:rsid w:val="00A3383F"/>
    <w:rsid w:val="00A71D33"/>
    <w:rsid w:val="00A908B4"/>
    <w:rsid w:val="00AC5B2A"/>
    <w:rsid w:val="00AD3E09"/>
    <w:rsid w:val="00AF0AB3"/>
    <w:rsid w:val="00B31200"/>
    <w:rsid w:val="00BB1CB4"/>
    <w:rsid w:val="00BB52B4"/>
    <w:rsid w:val="00BC3CD0"/>
    <w:rsid w:val="00C00452"/>
    <w:rsid w:val="00C23744"/>
    <w:rsid w:val="00C24E39"/>
    <w:rsid w:val="00CF2DAA"/>
    <w:rsid w:val="00D041E2"/>
    <w:rsid w:val="00D12D47"/>
    <w:rsid w:val="00D13074"/>
    <w:rsid w:val="00D238D4"/>
    <w:rsid w:val="00D54A3A"/>
    <w:rsid w:val="00D84FD7"/>
    <w:rsid w:val="00DD3A67"/>
    <w:rsid w:val="00DE7D64"/>
    <w:rsid w:val="00E235AA"/>
    <w:rsid w:val="00E23C2E"/>
    <w:rsid w:val="00E75F41"/>
    <w:rsid w:val="00EE19C4"/>
    <w:rsid w:val="00F10FD0"/>
    <w:rsid w:val="00F67CEF"/>
    <w:rsid w:val="00F82B90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6ACFC-BB9D-430E-9651-4F489B5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C8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4203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03"/>
    <w:rPr>
      <w:noProof/>
      <w:lang w:val="sq-AL"/>
    </w:rPr>
  </w:style>
  <w:style w:type="paragraph" w:styleId="ListParagraph">
    <w:name w:val="List Paragraph"/>
    <w:basedOn w:val="Normal"/>
    <w:uiPriority w:val="34"/>
    <w:qFormat/>
    <w:rsid w:val="005114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44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A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A67"/>
    <w:rPr>
      <w:noProof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DD3A67"/>
    <w:rPr>
      <w:vertAlign w:val="superscript"/>
    </w:rPr>
  </w:style>
  <w:style w:type="character" w:customStyle="1" w:styleId="tlid-translation">
    <w:name w:val="tlid-translation"/>
    <w:basedOn w:val="DefaultParagraphFont"/>
    <w:rsid w:val="0081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D1DD-26FC-4EEC-B8CF-A7920C25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Rregulla per dimensionimin e FRR ne Bllokun LFC AK</vt:lpstr>
    </vt:vector>
  </TitlesOfParts>
  <Company>KOSTT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Rregulla per dimensionimin e FRR ne Bllokun LFC AK</dc:title>
  <dc:creator>Burbuqe Hasani</dc:creator>
  <cp:lastModifiedBy>Petrit Pepaj</cp:lastModifiedBy>
  <cp:revision>2</cp:revision>
  <dcterms:created xsi:type="dcterms:W3CDTF">2020-08-27T12:32:00Z</dcterms:created>
  <dcterms:modified xsi:type="dcterms:W3CDTF">2020-08-27T12:32:00Z</dcterms:modified>
</cp:coreProperties>
</file>